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AAB0C" w14:textId="77777777" w:rsidR="005D19F7" w:rsidRDefault="005D19F7" w:rsidP="005D19F7">
      <w:pPr>
        <w:pStyle w:val="ListParagraph"/>
        <w:rPr>
          <w:b/>
          <w:bCs/>
        </w:rPr>
      </w:pPr>
    </w:p>
    <w:p w14:paraId="3106B21D" w14:textId="19D278CC" w:rsidR="00FE459C" w:rsidRPr="00A044E8" w:rsidRDefault="001C5A55" w:rsidP="006608D6">
      <w:pPr>
        <w:pStyle w:val="ListParagraph"/>
        <w:jc w:val="center"/>
        <w:rPr>
          <w:b/>
          <w:bCs/>
        </w:rPr>
      </w:pPr>
      <w:r w:rsidRPr="00A044E8">
        <w:rPr>
          <w:b/>
          <w:bCs/>
        </w:rPr>
        <w:t>CLINICAL</w:t>
      </w:r>
      <w:r w:rsidR="00C05383" w:rsidRPr="00A044E8">
        <w:rPr>
          <w:b/>
          <w:bCs/>
        </w:rPr>
        <w:t xml:space="preserve"> ENDPOINTS REVIEW </w:t>
      </w:r>
      <w:r w:rsidR="00614035" w:rsidRPr="00A044E8">
        <w:rPr>
          <w:b/>
          <w:bCs/>
        </w:rPr>
        <w:t xml:space="preserve">(CER) </w:t>
      </w:r>
      <w:r w:rsidR="00073391" w:rsidRPr="00A044E8">
        <w:rPr>
          <w:b/>
          <w:bCs/>
        </w:rPr>
        <w:t>SUMMARY</w:t>
      </w:r>
      <w:r w:rsidR="00587977" w:rsidRPr="00A044E8">
        <w:rPr>
          <w:b/>
          <w:bCs/>
        </w:rPr>
        <w:t xml:space="preserve">: </w:t>
      </w:r>
      <w:r w:rsidR="00C05383" w:rsidRPr="00A044E8">
        <w:rPr>
          <w:b/>
          <w:bCs/>
          <w:color w:val="FF0000"/>
        </w:rPr>
        <w:t>With</w:t>
      </w:r>
      <w:r w:rsidR="0019561D" w:rsidRPr="00A044E8">
        <w:rPr>
          <w:b/>
          <w:bCs/>
          <w:color w:val="FF0000"/>
        </w:rPr>
        <w:t xml:space="preserve"> </w:t>
      </w:r>
      <w:r w:rsidR="0075173B" w:rsidRPr="00A044E8">
        <w:rPr>
          <w:b/>
          <w:bCs/>
          <w:color w:val="FF0000"/>
        </w:rPr>
        <w:t xml:space="preserve">table </w:t>
      </w:r>
      <w:r w:rsidR="00073391" w:rsidRPr="00A044E8">
        <w:rPr>
          <w:b/>
          <w:bCs/>
          <w:color w:val="FF0000"/>
        </w:rPr>
        <w:t>e</w:t>
      </w:r>
      <w:r w:rsidR="0019561D" w:rsidRPr="00A044E8">
        <w:rPr>
          <w:b/>
          <w:bCs/>
          <w:color w:val="FF0000"/>
        </w:rPr>
        <w:t>dits</w:t>
      </w:r>
      <w:r w:rsidR="00C05383" w:rsidRPr="00A044E8">
        <w:rPr>
          <w:b/>
          <w:bCs/>
          <w:color w:val="FF0000"/>
        </w:rPr>
        <w:t xml:space="preserve"> </w:t>
      </w:r>
      <w:r w:rsidR="00073391" w:rsidRPr="00A044E8">
        <w:rPr>
          <w:b/>
          <w:bCs/>
          <w:color w:val="FF0000"/>
        </w:rPr>
        <w:t>c</w:t>
      </w:r>
      <w:r w:rsidR="00C05383" w:rsidRPr="00A044E8">
        <w:rPr>
          <w:b/>
          <w:bCs/>
          <w:color w:val="FF0000"/>
        </w:rPr>
        <w:t>orresponding to re</w:t>
      </w:r>
      <w:r w:rsidR="00073391" w:rsidRPr="00A044E8">
        <w:rPr>
          <w:b/>
          <w:bCs/>
          <w:color w:val="FF0000"/>
        </w:rPr>
        <w:t xml:space="preserve">view by </w:t>
      </w:r>
      <w:r w:rsidR="00753553" w:rsidRPr="00A044E8">
        <w:rPr>
          <w:b/>
          <w:bCs/>
          <w:color w:val="FF0000"/>
        </w:rPr>
        <w:t>three</w:t>
      </w:r>
      <w:r w:rsidR="00073391" w:rsidRPr="00A044E8">
        <w:rPr>
          <w:b/>
          <w:bCs/>
          <w:color w:val="FF0000"/>
        </w:rPr>
        <w:t xml:space="preserve"> external experts</w:t>
      </w:r>
    </w:p>
    <w:p w14:paraId="5D248B5C" w14:textId="109C8342" w:rsidR="006608D6" w:rsidRPr="00A044E8" w:rsidRDefault="00654381" w:rsidP="006608D6">
      <w:pPr>
        <w:pStyle w:val="ListParagraph"/>
        <w:jc w:val="center"/>
        <w:rPr>
          <w:b/>
          <w:bCs/>
          <w:i/>
          <w:iCs/>
        </w:rPr>
      </w:pPr>
      <w:bookmarkStart w:id="0" w:name="_Hlk191893698"/>
      <w:r w:rsidRPr="00A044E8">
        <w:rPr>
          <w:b/>
          <w:bCs/>
          <w:i/>
          <w:iCs/>
        </w:rPr>
        <w:t>Devices to Manage Tremor in Parkinson’s Disease and Essential Tremor</w:t>
      </w:r>
    </w:p>
    <w:bookmarkEnd w:id="0"/>
    <w:p w14:paraId="0F510782" w14:textId="77777777" w:rsidR="006608D6" w:rsidRPr="00A044E8" w:rsidRDefault="006608D6" w:rsidP="005D19F7">
      <w:pPr>
        <w:pStyle w:val="ListParagraph"/>
        <w:rPr>
          <w:i/>
          <w:iCs/>
        </w:rPr>
      </w:pPr>
    </w:p>
    <w:p w14:paraId="6DA4B91F" w14:textId="3F99CF8B" w:rsidR="006608D6" w:rsidRPr="00A044E8" w:rsidRDefault="006608D6" w:rsidP="004A5699">
      <w:pPr>
        <w:pStyle w:val="ListParagraph"/>
        <w:ind w:left="0"/>
        <w:rPr>
          <w:b/>
          <w:bCs/>
        </w:rPr>
      </w:pPr>
      <w:r w:rsidRPr="00A044E8">
        <w:rPr>
          <w:b/>
          <w:bCs/>
        </w:rPr>
        <w:t>Contents</w:t>
      </w:r>
    </w:p>
    <w:p w14:paraId="0F0A56A9" w14:textId="79150185" w:rsidR="0075173B" w:rsidRPr="00A044E8" w:rsidRDefault="0075173B" w:rsidP="004A5699">
      <w:pPr>
        <w:pStyle w:val="ListParagraph"/>
        <w:ind w:left="0"/>
      </w:pPr>
      <w:hyperlink w:anchor="Overview" w:history="1">
        <w:r w:rsidRPr="00A044E8">
          <w:rPr>
            <w:rStyle w:val="Hyperlink"/>
          </w:rPr>
          <w:t>Overview</w:t>
        </w:r>
      </w:hyperlink>
    </w:p>
    <w:p w14:paraId="2B78C8B0" w14:textId="1C903BD1" w:rsidR="006608D6" w:rsidRPr="00A044E8" w:rsidRDefault="00CD19C0" w:rsidP="004A5699">
      <w:pPr>
        <w:pStyle w:val="ListParagraph"/>
        <w:ind w:left="0"/>
      </w:pPr>
      <w:hyperlink w:anchor="Table_A1" w:history="1">
        <w:r w:rsidRPr="00A044E8">
          <w:rPr>
            <w:rStyle w:val="Hyperlink"/>
          </w:rPr>
          <w:t xml:space="preserve">Table A1. </w:t>
        </w:r>
        <w:r w:rsidR="001711F6" w:rsidRPr="00A044E8">
          <w:rPr>
            <w:rStyle w:val="Hyperlink"/>
          </w:rPr>
          <w:t xml:space="preserve">Prioritized </w:t>
        </w:r>
        <w:r w:rsidR="00574FC9" w:rsidRPr="00A044E8">
          <w:rPr>
            <w:rStyle w:val="Hyperlink"/>
          </w:rPr>
          <w:t xml:space="preserve">Clinical Endpoints Identified in Peer-Reviewed Systematic Reviews </w:t>
        </w:r>
      </w:hyperlink>
    </w:p>
    <w:p w14:paraId="35A95CED" w14:textId="3DD274F5" w:rsidR="00CD19C0" w:rsidRPr="00A044E8" w:rsidRDefault="00CD19C0" w:rsidP="004A5699">
      <w:pPr>
        <w:pStyle w:val="ListParagraph"/>
        <w:ind w:left="0"/>
      </w:pPr>
      <w:hyperlink w:anchor="Table_A2" w:history="1">
        <w:r w:rsidRPr="00A044E8">
          <w:rPr>
            <w:rStyle w:val="Hyperlink"/>
          </w:rPr>
          <w:t xml:space="preserve">Table A2. </w:t>
        </w:r>
        <w:r w:rsidR="00574FC9" w:rsidRPr="00A044E8">
          <w:rPr>
            <w:rStyle w:val="Hyperlink"/>
          </w:rPr>
          <w:t xml:space="preserve">All Clinical Endpoints Identified in Peer-Reviewed Systematic Reviews </w:t>
        </w:r>
      </w:hyperlink>
      <w:r w:rsidRPr="00A044E8">
        <w:t xml:space="preserve"> </w:t>
      </w:r>
    </w:p>
    <w:p w14:paraId="5B81582D" w14:textId="7E940111" w:rsidR="006F4E73" w:rsidRPr="00A044E8" w:rsidRDefault="00CD19C0" w:rsidP="004A5699">
      <w:pPr>
        <w:pStyle w:val="ListParagraph"/>
        <w:ind w:left="0"/>
      </w:pPr>
      <w:hyperlink w:anchor="Table_B1" w:history="1">
        <w:r w:rsidRPr="00A044E8">
          <w:rPr>
            <w:rStyle w:val="Hyperlink"/>
          </w:rPr>
          <w:t>Table B</w:t>
        </w:r>
        <w:r w:rsidR="008848BD" w:rsidRPr="00A044E8">
          <w:rPr>
            <w:rStyle w:val="Hyperlink"/>
          </w:rPr>
          <w:t>1</w:t>
        </w:r>
        <w:r w:rsidRPr="00A044E8">
          <w:rPr>
            <w:rStyle w:val="Hyperlink"/>
          </w:rPr>
          <w:t xml:space="preserve">. </w:t>
        </w:r>
        <w:r w:rsidR="00046D71" w:rsidRPr="00A044E8">
          <w:rPr>
            <w:rStyle w:val="Hyperlink"/>
          </w:rPr>
          <w:t>Clinical Endpoints Derived from Professional Guidance Documents on Parkinson’s Disease</w:t>
        </w:r>
      </w:hyperlink>
    </w:p>
    <w:p w14:paraId="191B98B4" w14:textId="106DC65A" w:rsidR="008848BD" w:rsidRPr="00A044E8" w:rsidRDefault="008848BD" w:rsidP="004A5699">
      <w:pPr>
        <w:pStyle w:val="ListParagraph"/>
        <w:ind w:left="0"/>
      </w:pPr>
      <w:hyperlink w:anchor="Table_B2" w:history="1">
        <w:r w:rsidRPr="00A044E8">
          <w:rPr>
            <w:rStyle w:val="Hyperlink"/>
          </w:rPr>
          <w:t xml:space="preserve">Table B2. </w:t>
        </w:r>
        <w:r w:rsidR="001E4AC8" w:rsidRPr="00A044E8">
          <w:rPr>
            <w:rStyle w:val="Hyperlink"/>
          </w:rPr>
          <w:t>Outcomes Identified as ‘Critical’ or ‘Important’ by the  European Academy of Neurology and European Section of the Movement Disorder Society</w:t>
        </w:r>
      </w:hyperlink>
      <w:r w:rsidR="001E4AC8" w:rsidRPr="00A044E8">
        <w:t xml:space="preserve"> </w:t>
      </w:r>
    </w:p>
    <w:p w14:paraId="73DEF31E" w14:textId="0F349352" w:rsidR="00574FC9" w:rsidRPr="00A044E8" w:rsidRDefault="00574FC9" w:rsidP="004A5699">
      <w:pPr>
        <w:pStyle w:val="ListParagraph"/>
        <w:ind w:left="0"/>
      </w:pPr>
      <w:hyperlink w:anchor="Table_C" w:history="1">
        <w:r w:rsidRPr="00A044E8">
          <w:rPr>
            <w:rStyle w:val="Hyperlink"/>
          </w:rPr>
          <w:t>Table C. Definitions of MCIDs</w:t>
        </w:r>
      </w:hyperlink>
      <w:r w:rsidR="009C5D87" w:rsidRPr="00A044E8">
        <w:t xml:space="preserve"> </w:t>
      </w:r>
    </w:p>
    <w:p w14:paraId="6F5EAF72" w14:textId="6F045EDE" w:rsidR="00DF708F" w:rsidRPr="00A044E8" w:rsidRDefault="00DF708F" w:rsidP="004A5699">
      <w:pPr>
        <w:pStyle w:val="ListParagraph"/>
        <w:ind w:left="0"/>
      </w:pPr>
      <w:hyperlink w:anchor="Table_D" w:history="1">
        <w:r w:rsidRPr="00A044E8">
          <w:rPr>
            <w:rStyle w:val="Hyperlink"/>
          </w:rPr>
          <w:t>Table D. Follow-up Duration</w:t>
        </w:r>
      </w:hyperlink>
      <w:r w:rsidR="009C5D87" w:rsidRPr="00A044E8">
        <w:t xml:space="preserve"> </w:t>
      </w:r>
    </w:p>
    <w:p w14:paraId="287194EB" w14:textId="072C1A0F" w:rsidR="004F053F" w:rsidRPr="00A044E8" w:rsidRDefault="004F053F" w:rsidP="004A5699">
      <w:pPr>
        <w:pStyle w:val="ListParagraph"/>
        <w:ind w:left="0"/>
        <w:rPr>
          <w:rStyle w:val="Hyperlink"/>
        </w:rPr>
      </w:pPr>
    </w:p>
    <w:p w14:paraId="0DD815A6" w14:textId="1DCE9C6B" w:rsidR="003C4121" w:rsidRPr="00A044E8" w:rsidRDefault="0075173B" w:rsidP="004A5699">
      <w:pPr>
        <w:pStyle w:val="ListParagraph"/>
        <w:ind w:left="0"/>
        <w:rPr>
          <w:b/>
          <w:bCs/>
        </w:rPr>
      </w:pPr>
      <w:bookmarkStart w:id="1" w:name="Overview"/>
      <w:r w:rsidRPr="00A044E8">
        <w:rPr>
          <w:b/>
          <w:bCs/>
        </w:rPr>
        <w:t>Overview</w:t>
      </w:r>
      <w:bookmarkEnd w:id="1"/>
      <w:r w:rsidR="00A835B9" w:rsidRPr="00A044E8">
        <w:rPr>
          <w:b/>
          <w:bCs/>
        </w:rPr>
        <w:t xml:space="preserve"> </w:t>
      </w:r>
    </w:p>
    <w:p w14:paraId="4B6CA4A8" w14:textId="08806FB0" w:rsidR="006E68B2" w:rsidRPr="00A044E8" w:rsidRDefault="006E68B2" w:rsidP="004A5699">
      <w:pPr>
        <w:pStyle w:val="ListParagraph"/>
        <w:ind w:left="0"/>
      </w:pPr>
      <w:r w:rsidRPr="00A044E8">
        <w:rPr>
          <w:u w:val="single"/>
        </w:rPr>
        <w:t>Objectives</w:t>
      </w:r>
      <w:r w:rsidRPr="00A044E8">
        <w:t xml:space="preserve">: 1) To identify the most common clinical endpoints </w:t>
      </w:r>
      <w:r w:rsidR="008848BD" w:rsidRPr="00A044E8">
        <w:t xml:space="preserve">in studies of </w:t>
      </w:r>
      <w:r w:rsidRPr="00A044E8">
        <w:t xml:space="preserve">devices for the management/treatment of medication-refractory </w:t>
      </w:r>
      <w:r w:rsidR="00252B83" w:rsidRPr="00A044E8">
        <w:t>Parkinson’s disease (</w:t>
      </w:r>
      <w:r w:rsidRPr="00A044E8">
        <w:t>PD</w:t>
      </w:r>
      <w:r w:rsidR="00252B83" w:rsidRPr="00A044E8">
        <w:t>)</w:t>
      </w:r>
      <w:r w:rsidRPr="00A044E8">
        <w:t xml:space="preserve"> and </w:t>
      </w:r>
      <w:r w:rsidR="00AA3673" w:rsidRPr="00A044E8">
        <w:t>e</w:t>
      </w:r>
      <w:r w:rsidR="00252B83" w:rsidRPr="00A044E8">
        <w:t xml:space="preserve">ssential </w:t>
      </w:r>
      <w:r w:rsidR="00AA3673" w:rsidRPr="00A044E8">
        <w:t>t</w:t>
      </w:r>
      <w:r w:rsidR="00252B83" w:rsidRPr="00A044E8">
        <w:t>remor (</w:t>
      </w:r>
      <w:r w:rsidRPr="00A044E8">
        <w:t>ET</w:t>
      </w:r>
      <w:r w:rsidR="00252B83" w:rsidRPr="00A044E8">
        <w:t>)</w:t>
      </w:r>
      <w:r w:rsidRPr="00A044E8">
        <w:t>, focusing on tremor</w:t>
      </w:r>
      <w:r w:rsidR="008848BD" w:rsidRPr="00A044E8">
        <w:t xml:space="preserve"> and </w:t>
      </w:r>
      <w:r w:rsidRPr="00A044E8">
        <w:t xml:space="preserve">motor </w:t>
      </w:r>
      <w:r w:rsidR="008848BD" w:rsidRPr="00A044E8">
        <w:t>symptoms</w:t>
      </w:r>
      <w:r w:rsidRPr="00A044E8">
        <w:t xml:space="preserve">. 2) To identify the commonly used instruments/tools to assess those outcomes and </w:t>
      </w:r>
      <w:r w:rsidR="00971911" w:rsidRPr="00A044E8">
        <w:t>identify definitions of</w:t>
      </w:r>
      <w:r w:rsidRPr="00A044E8">
        <w:t xml:space="preserve"> clinically meaningful differences for each instrument/tool where possible.</w:t>
      </w:r>
    </w:p>
    <w:p w14:paraId="67852032" w14:textId="77777777" w:rsidR="006E68B2" w:rsidRPr="00A044E8" w:rsidRDefault="006E68B2" w:rsidP="004A5699">
      <w:pPr>
        <w:pStyle w:val="ListParagraph"/>
        <w:ind w:left="0"/>
      </w:pPr>
    </w:p>
    <w:p w14:paraId="190DE766" w14:textId="573AA7D8" w:rsidR="004A5699" w:rsidRPr="00A044E8" w:rsidRDefault="006E68B2" w:rsidP="004A5699">
      <w:pPr>
        <w:pStyle w:val="ListParagraph"/>
        <w:ind w:left="0"/>
      </w:pPr>
      <w:r w:rsidRPr="00A044E8">
        <w:rPr>
          <w:u w:val="single"/>
        </w:rPr>
        <w:t>Literature considered</w:t>
      </w:r>
      <w:r w:rsidRPr="00A044E8">
        <w:t>: 1</w:t>
      </w:r>
      <w:r w:rsidR="001711F6" w:rsidRPr="00A044E8">
        <w:t>)</w:t>
      </w:r>
      <w:r w:rsidRPr="00A044E8">
        <w:t xml:space="preserve"> </w:t>
      </w:r>
      <w:r w:rsidR="004A5699" w:rsidRPr="00A044E8">
        <w:t>P</w:t>
      </w:r>
      <w:r w:rsidR="005A31CF" w:rsidRPr="00A044E8">
        <w:t xml:space="preserve">eer-reviewed systematic reviews of </w:t>
      </w:r>
      <w:r w:rsidR="003C4121" w:rsidRPr="00A044E8">
        <w:t xml:space="preserve">clinical studies of devices for </w:t>
      </w:r>
      <w:r w:rsidR="00A835B9" w:rsidRPr="00A044E8">
        <w:t xml:space="preserve">patients with </w:t>
      </w:r>
      <w:r w:rsidR="005A31CF" w:rsidRPr="00A044E8">
        <w:t>PD or ET</w:t>
      </w:r>
      <w:r w:rsidR="003C4121" w:rsidRPr="00A044E8">
        <w:t xml:space="preserve"> and </w:t>
      </w:r>
      <w:r w:rsidR="00614035" w:rsidRPr="00A044E8">
        <w:t xml:space="preserve">2) </w:t>
      </w:r>
      <w:r w:rsidR="005A31CF" w:rsidRPr="00A044E8">
        <w:t>professional guidance documents, i.e., clinical practice guidelines and consensus statements</w:t>
      </w:r>
      <w:r w:rsidR="003C4121" w:rsidRPr="00A044E8">
        <w:t xml:space="preserve">. </w:t>
      </w:r>
    </w:p>
    <w:p w14:paraId="4B462980" w14:textId="77777777" w:rsidR="00614035" w:rsidRPr="00A044E8" w:rsidRDefault="00614035" w:rsidP="004A5699">
      <w:pPr>
        <w:pStyle w:val="ListParagraph"/>
        <w:ind w:left="0"/>
      </w:pPr>
    </w:p>
    <w:p w14:paraId="351CAAB5" w14:textId="463A6894" w:rsidR="00614035" w:rsidRPr="00A044E8" w:rsidRDefault="00614035" w:rsidP="004A5699">
      <w:pPr>
        <w:pStyle w:val="ListParagraph"/>
        <w:ind w:left="0"/>
      </w:pPr>
      <w:r w:rsidRPr="00A044E8">
        <w:rPr>
          <w:u w:val="single"/>
        </w:rPr>
        <w:t>External input and review</w:t>
      </w:r>
      <w:r w:rsidRPr="00A044E8">
        <w:t xml:space="preserve">: A neurologist assisted in the development of the CER report. </w:t>
      </w:r>
      <w:r w:rsidR="005F64E5" w:rsidRPr="00A044E8">
        <w:t>Three expert reviewers, a</w:t>
      </w:r>
      <w:r w:rsidRPr="00A044E8">
        <w:t xml:space="preserve"> neurosurgeon and two neurologists</w:t>
      </w:r>
      <w:r w:rsidR="00AA3673" w:rsidRPr="00A044E8">
        <w:t xml:space="preserve"> (different from the original neurologist contributor)</w:t>
      </w:r>
      <w:r w:rsidR="005F64E5" w:rsidRPr="00A044E8">
        <w:t>,</w:t>
      </w:r>
      <w:r w:rsidRPr="00A044E8">
        <w:t xml:space="preserve"> reviewed the completed CER and submitted written responses to review questions.</w:t>
      </w:r>
    </w:p>
    <w:p w14:paraId="6781B789" w14:textId="77777777" w:rsidR="004A5699" w:rsidRPr="00A044E8" w:rsidRDefault="004A5699" w:rsidP="004A5699">
      <w:pPr>
        <w:pStyle w:val="ListParagraph"/>
        <w:ind w:left="0"/>
      </w:pPr>
    </w:p>
    <w:p w14:paraId="02DAB08D" w14:textId="3EFE3B5B" w:rsidR="005F64E5" w:rsidRPr="00A044E8" w:rsidRDefault="004A5699" w:rsidP="004A5699">
      <w:pPr>
        <w:pStyle w:val="ListParagraph"/>
        <w:ind w:left="0"/>
      </w:pPr>
      <w:r w:rsidRPr="00A044E8">
        <w:rPr>
          <w:u w:val="single"/>
        </w:rPr>
        <w:t>Important clinical endpoints identified</w:t>
      </w:r>
      <w:r w:rsidRPr="00A044E8">
        <w:t>:</w:t>
      </w:r>
      <w:r w:rsidR="008848BD" w:rsidRPr="00A044E8">
        <w:t xml:space="preserve"> </w:t>
      </w:r>
      <w:hyperlink w:anchor="Table_A1" w:history="1">
        <w:r w:rsidR="003C4121" w:rsidRPr="00A044E8">
          <w:rPr>
            <w:rStyle w:val="Hyperlink"/>
          </w:rPr>
          <w:t>Table A1</w:t>
        </w:r>
      </w:hyperlink>
      <w:r w:rsidR="003C4121" w:rsidRPr="00A044E8">
        <w:t xml:space="preserve"> </w:t>
      </w:r>
      <w:r w:rsidR="00967051" w:rsidRPr="00A044E8">
        <w:t xml:space="preserve">in this document </w:t>
      </w:r>
      <w:r w:rsidR="003C4121" w:rsidRPr="00A044E8">
        <w:t>lists</w:t>
      </w:r>
      <w:r w:rsidR="007516FE" w:rsidRPr="00A044E8">
        <w:t xml:space="preserve"> </w:t>
      </w:r>
      <w:r w:rsidR="003C4121" w:rsidRPr="00A044E8">
        <w:t xml:space="preserve">the </w:t>
      </w:r>
      <w:r w:rsidR="003C4121" w:rsidRPr="00A044E8">
        <w:rPr>
          <w:i/>
          <w:iCs/>
        </w:rPr>
        <w:t>most important</w:t>
      </w:r>
      <w:r w:rsidR="003C4121" w:rsidRPr="00A044E8">
        <w:t xml:space="preserve"> </w:t>
      </w:r>
      <w:r w:rsidR="005A31CF" w:rsidRPr="00A044E8">
        <w:t xml:space="preserve">clinical endpoints </w:t>
      </w:r>
      <w:r w:rsidR="003C4121" w:rsidRPr="00A044E8">
        <w:t xml:space="preserve">according to </w:t>
      </w:r>
      <w:r w:rsidR="00F95AE0" w:rsidRPr="00A044E8">
        <w:t>a prioritization process</w:t>
      </w:r>
      <w:r w:rsidR="001711F6" w:rsidRPr="00A044E8">
        <w:t xml:space="preserve"> </w:t>
      </w:r>
      <w:r w:rsidRPr="00A044E8">
        <w:t xml:space="preserve">based on the frequency with which a clinical endpoint was measured in the primary studies included in </w:t>
      </w:r>
      <w:r w:rsidR="00AA3673" w:rsidRPr="00A044E8">
        <w:t xml:space="preserve">a </w:t>
      </w:r>
      <w:r w:rsidRPr="00A044E8">
        <w:t xml:space="preserve">selected </w:t>
      </w:r>
      <w:r w:rsidR="00AA3673" w:rsidRPr="00A044E8">
        <w:t xml:space="preserve">set of </w:t>
      </w:r>
      <w:r w:rsidRPr="00A044E8">
        <w:t>systematic reviews (see the table footnotes)</w:t>
      </w:r>
      <w:r w:rsidR="003C4121" w:rsidRPr="00A044E8">
        <w:t xml:space="preserve">. </w:t>
      </w:r>
      <w:r w:rsidR="005F64E5" w:rsidRPr="00A044E8">
        <w:t xml:space="preserve">Additional clinical endpoints recommended by the three expert reviewers have also been added to </w:t>
      </w:r>
      <w:hyperlink w:anchor="Table_A1" w:history="1">
        <w:r w:rsidR="005F64E5" w:rsidRPr="00A044E8">
          <w:rPr>
            <w:rStyle w:val="Hyperlink"/>
          </w:rPr>
          <w:t>Table A1</w:t>
        </w:r>
      </w:hyperlink>
      <w:r w:rsidR="005F64E5" w:rsidRPr="00A044E8">
        <w:t xml:space="preserve">. </w:t>
      </w:r>
    </w:p>
    <w:p w14:paraId="7B7450E2" w14:textId="77777777" w:rsidR="005F64E5" w:rsidRPr="00A044E8" w:rsidRDefault="005F64E5" w:rsidP="004A5699">
      <w:pPr>
        <w:pStyle w:val="ListParagraph"/>
        <w:ind w:left="0"/>
      </w:pPr>
    </w:p>
    <w:p w14:paraId="147E50C6" w14:textId="16F36ABA" w:rsidR="007516FE" w:rsidRPr="00A044E8" w:rsidRDefault="00F57888" w:rsidP="004A5699">
      <w:pPr>
        <w:pStyle w:val="ListParagraph"/>
        <w:ind w:left="0"/>
      </w:pPr>
      <w:r w:rsidRPr="00A044E8">
        <w:t xml:space="preserve">A complete list of </w:t>
      </w:r>
      <w:r w:rsidR="005F64E5" w:rsidRPr="00A044E8">
        <w:rPr>
          <w:i/>
          <w:iCs/>
        </w:rPr>
        <w:t>all</w:t>
      </w:r>
      <w:r w:rsidR="005F64E5" w:rsidRPr="00A044E8">
        <w:t xml:space="preserve"> </w:t>
      </w:r>
      <w:r w:rsidRPr="00A044E8">
        <w:t xml:space="preserve">the clinical endpoints identified by the systematic reviews appears in </w:t>
      </w:r>
      <w:hyperlink w:anchor="Table_A2" w:history="1">
        <w:r w:rsidRPr="00A044E8">
          <w:rPr>
            <w:rStyle w:val="Hyperlink"/>
          </w:rPr>
          <w:t>Table A2</w:t>
        </w:r>
      </w:hyperlink>
      <w:r w:rsidR="00896B85" w:rsidRPr="00A044E8">
        <w:t xml:space="preserve"> in this document</w:t>
      </w:r>
      <w:r w:rsidRPr="00A044E8">
        <w:t>.</w:t>
      </w:r>
    </w:p>
    <w:p w14:paraId="4EEE36E3" w14:textId="77777777" w:rsidR="007516FE" w:rsidRPr="00A044E8" w:rsidRDefault="007516FE" w:rsidP="004A5699">
      <w:pPr>
        <w:pStyle w:val="ListParagraph"/>
        <w:ind w:left="0"/>
      </w:pPr>
    </w:p>
    <w:p w14:paraId="0631798D" w14:textId="253012B4" w:rsidR="00F95AE0" w:rsidRPr="00A044E8" w:rsidRDefault="005A31CF" w:rsidP="004A5699">
      <w:pPr>
        <w:pStyle w:val="ListParagraph"/>
        <w:ind w:left="0"/>
      </w:pPr>
      <w:hyperlink w:anchor="Table_B" w:history="1">
        <w:r w:rsidRPr="00A044E8">
          <w:rPr>
            <w:rStyle w:val="Hyperlink"/>
          </w:rPr>
          <w:t xml:space="preserve">Table </w:t>
        </w:r>
        <w:r w:rsidR="00F57888" w:rsidRPr="00A044E8">
          <w:rPr>
            <w:rStyle w:val="Hyperlink"/>
          </w:rPr>
          <w:t>B</w:t>
        </w:r>
      </w:hyperlink>
      <w:r w:rsidRPr="00A044E8">
        <w:t xml:space="preserve"> lists the clinical endpoints emphasized in selected professional guidance documents</w:t>
      </w:r>
      <w:r w:rsidR="007516FE" w:rsidRPr="00A044E8">
        <w:t xml:space="preserve"> </w:t>
      </w:r>
      <w:r w:rsidR="00896B85" w:rsidRPr="00A044E8">
        <w:t>pertaining</w:t>
      </w:r>
      <w:r w:rsidR="007516FE" w:rsidRPr="00A044E8">
        <w:t xml:space="preserve"> to PD</w:t>
      </w:r>
      <w:r w:rsidRPr="00A044E8">
        <w:t xml:space="preserve">. </w:t>
      </w:r>
      <w:r w:rsidR="007516FE" w:rsidRPr="00A044E8">
        <w:t>T</w:t>
      </w:r>
      <w:r w:rsidRPr="00A044E8">
        <w:t>h</w:t>
      </w:r>
      <w:r w:rsidR="00896B85" w:rsidRPr="00A044E8">
        <w:t xml:space="preserve">is </w:t>
      </w:r>
      <w:r w:rsidRPr="00A044E8">
        <w:t>set of clinical endpoints overlap</w:t>
      </w:r>
      <w:r w:rsidR="00896B85" w:rsidRPr="00A044E8">
        <w:t>s</w:t>
      </w:r>
      <w:r w:rsidRPr="00A044E8">
        <w:t xml:space="preserve"> considerably</w:t>
      </w:r>
      <w:r w:rsidR="00896B85" w:rsidRPr="00A044E8">
        <w:t xml:space="preserve"> with the prioritized set derived from systematic reviews and presented in </w:t>
      </w:r>
      <w:hyperlink w:anchor="Table_A1" w:history="1">
        <w:r w:rsidR="00896B85" w:rsidRPr="00A044E8">
          <w:rPr>
            <w:rStyle w:val="Hyperlink"/>
          </w:rPr>
          <w:t>Table A1</w:t>
        </w:r>
      </w:hyperlink>
      <w:r w:rsidRPr="00A044E8">
        <w:t xml:space="preserve">. However, </w:t>
      </w:r>
      <w:r w:rsidR="005F64E5" w:rsidRPr="00A044E8">
        <w:t xml:space="preserve">certain endpoints emphasized by three or four of the five professional guidance documents do not appear in the systematic review-derived and prioritized list: </w:t>
      </w:r>
      <w:r w:rsidRPr="00A044E8">
        <w:t xml:space="preserve">behavioral and mood disorders, </w:t>
      </w:r>
      <w:r w:rsidR="00B95BDE" w:rsidRPr="00A044E8">
        <w:t>motor complications</w:t>
      </w:r>
      <w:r w:rsidR="00F95AE0" w:rsidRPr="00A044E8">
        <w:t xml:space="preserve">, and safety endpoints. </w:t>
      </w:r>
      <w:r w:rsidR="00896B85" w:rsidRPr="00A044E8">
        <w:t>Clinical practice guidelines published jointly by the European Academy of Neurology and the European section of the Movement Disorders Society</w:t>
      </w:r>
      <w:r w:rsidR="00F95AE0" w:rsidRPr="00A044E8">
        <w:t xml:space="preserve"> </w:t>
      </w:r>
      <w:r w:rsidRPr="00A044E8">
        <w:t xml:space="preserve">considered </w:t>
      </w:r>
      <w:r w:rsidR="00F95AE0" w:rsidRPr="00A044E8">
        <w:t>mood and behavioral disorders to</w:t>
      </w:r>
      <w:r w:rsidRPr="00A044E8">
        <w:t xml:space="preserve"> be “important” clinical endpoints</w:t>
      </w:r>
      <w:r w:rsidR="00B95BDE" w:rsidRPr="00A044E8">
        <w:t>, motor complications to be “critical”,</w:t>
      </w:r>
      <w:r w:rsidRPr="00A044E8">
        <w:t xml:space="preserve"> </w:t>
      </w:r>
      <w:r w:rsidR="00F95AE0" w:rsidRPr="00A044E8">
        <w:t xml:space="preserve">and safety endpoints to be “critical”. The same </w:t>
      </w:r>
      <w:r w:rsidR="00896B85" w:rsidRPr="00A044E8">
        <w:t>guidelines</w:t>
      </w:r>
      <w:r w:rsidR="00F95AE0" w:rsidRPr="00A044E8">
        <w:t xml:space="preserve"> also judged all the types of endpoints that do appear in </w:t>
      </w:r>
      <w:hyperlink w:anchor="Table_A1" w:history="1">
        <w:r w:rsidR="00F95AE0" w:rsidRPr="00A044E8">
          <w:rPr>
            <w:rStyle w:val="Hyperlink"/>
          </w:rPr>
          <w:t xml:space="preserve">Table </w:t>
        </w:r>
        <w:r w:rsidR="00F57888" w:rsidRPr="00A044E8">
          <w:rPr>
            <w:rStyle w:val="Hyperlink"/>
          </w:rPr>
          <w:t>A1</w:t>
        </w:r>
      </w:hyperlink>
      <w:r w:rsidR="00F57888" w:rsidRPr="00A044E8">
        <w:t xml:space="preserve"> </w:t>
      </w:r>
      <w:r w:rsidR="00F95AE0" w:rsidRPr="00A044E8">
        <w:t xml:space="preserve">to be either “important” or “critical”. </w:t>
      </w:r>
      <w:r w:rsidR="007516FE" w:rsidRPr="00A044E8">
        <w:t>No relevant professional guidance documents were identified for ET.</w:t>
      </w:r>
    </w:p>
    <w:p w14:paraId="7E48A7DC" w14:textId="77777777" w:rsidR="005F64E5" w:rsidRPr="00A044E8" w:rsidRDefault="005F64E5" w:rsidP="004A5699">
      <w:pPr>
        <w:pStyle w:val="ListParagraph"/>
        <w:ind w:left="0"/>
      </w:pPr>
    </w:p>
    <w:p w14:paraId="7BE91B77" w14:textId="7CC4A563" w:rsidR="004A5699" w:rsidRPr="00A044E8" w:rsidRDefault="004A5699" w:rsidP="004A5699">
      <w:pPr>
        <w:pStyle w:val="ListParagraph"/>
        <w:ind w:left="0"/>
        <w:rPr>
          <w:rFonts w:eastAsiaTheme="minorEastAsia" w:cstheme="minorHAnsi"/>
        </w:rPr>
      </w:pPr>
      <w:r w:rsidRPr="00A044E8">
        <w:rPr>
          <w:u w:val="single"/>
        </w:rPr>
        <w:lastRenderedPageBreak/>
        <w:t>Devices represented by the systematic reviews</w:t>
      </w:r>
      <w:r w:rsidRPr="00A044E8">
        <w:t>: deep brain stimulation (</w:t>
      </w:r>
      <w:r w:rsidRPr="00A044E8">
        <w:rPr>
          <w:rFonts w:eastAsiaTheme="minorEastAsia" w:cstheme="minorHAnsi"/>
        </w:rPr>
        <w:t>DBS) (</w:t>
      </w:r>
      <w:r w:rsidR="00B95BDE" w:rsidRPr="00A044E8">
        <w:rPr>
          <w:rFonts w:eastAsiaTheme="minorEastAsia" w:cstheme="minorHAnsi"/>
        </w:rPr>
        <w:t>the most frequently covered by systematic reviews</w:t>
      </w:r>
      <w:r w:rsidRPr="00A044E8">
        <w:rPr>
          <w:rFonts w:eastAsiaTheme="minorEastAsia" w:cstheme="minorHAnsi"/>
        </w:rPr>
        <w:t xml:space="preserve">), </w:t>
      </w:r>
      <w:r w:rsidR="00BF6EC8" w:rsidRPr="00A044E8">
        <w:rPr>
          <w:rFonts w:eastAsiaTheme="minorEastAsia" w:cstheme="minorHAnsi"/>
        </w:rPr>
        <w:t>repetitive transcranial magnetic stimulation (</w:t>
      </w:r>
      <w:proofErr w:type="spellStart"/>
      <w:r w:rsidR="00BF6EC8" w:rsidRPr="00A044E8">
        <w:rPr>
          <w:rFonts w:eastAsiaTheme="minorEastAsia" w:cstheme="minorHAnsi"/>
        </w:rPr>
        <w:t>rTMS</w:t>
      </w:r>
      <w:proofErr w:type="spellEnd"/>
      <w:r w:rsidR="00BF6EC8" w:rsidRPr="00A044E8">
        <w:rPr>
          <w:rFonts w:eastAsiaTheme="minorEastAsia" w:cstheme="minorHAnsi"/>
        </w:rPr>
        <w:t xml:space="preserve">), </w:t>
      </w:r>
      <w:proofErr w:type="spellStart"/>
      <w:r w:rsidR="00BF6EC8" w:rsidRPr="00A044E8">
        <w:rPr>
          <w:rFonts w:eastAsiaTheme="minorEastAsia" w:cstheme="minorHAnsi"/>
        </w:rPr>
        <w:t>subthalamotomy</w:t>
      </w:r>
      <w:proofErr w:type="spellEnd"/>
      <w:r w:rsidR="00BF6EC8" w:rsidRPr="00A044E8">
        <w:rPr>
          <w:rFonts w:eastAsiaTheme="minorEastAsia" w:cstheme="minorHAnsi"/>
        </w:rPr>
        <w:t>, magnetic resonance-guided focused ultrasound (</w:t>
      </w:r>
      <w:proofErr w:type="spellStart"/>
      <w:r w:rsidR="00BF6EC8" w:rsidRPr="00A044E8">
        <w:rPr>
          <w:rFonts w:eastAsiaTheme="minorEastAsia" w:cstheme="minorHAnsi"/>
        </w:rPr>
        <w:t>MRgFUS</w:t>
      </w:r>
      <w:proofErr w:type="spellEnd"/>
      <w:r w:rsidR="00BF6EC8" w:rsidRPr="00A044E8">
        <w:rPr>
          <w:rFonts w:eastAsiaTheme="minorEastAsia" w:cstheme="minorHAnsi"/>
        </w:rPr>
        <w:t>), transcranial direct current stimulation (</w:t>
      </w:r>
      <w:proofErr w:type="spellStart"/>
      <w:r w:rsidR="00BF6EC8" w:rsidRPr="00A044E8">
        <w:rPr>
          <w:rFonts w:eastAsiaTheme="minorEastAsia" w:cstheme="minorHAnsi"/>
        </w:rPr>
        <w:t>tDCS</w:t>
      </w:r>
      <w:proofErr w:type="spellEnd"/>
      <w:r w:rsidR="00BF6EC8" w:rsidRPr="00A044E8">
        <w:rPr>
          <w:rFonts w:eastAsiaTheme="minorEastAsia" w:cstheme="minorHAnsi"/>
        </w:rPr>
        <w:t xml:space="preserve">), </w:t>
      </w:r>
      <w:r w:rsidRPr="00A044E8">
        <w:rPr>
          <w:rFonts w:eastAsiaTheme="minorEastAsia" w:cstheme="minorHAnsi"/>
        </w:rPr>
        <w:t xml:space="preserve">robot-assisted gait training, </w:t>
      </w:r>
      <w:r w:rsidR="00BF6EC8" w:rsidRPr="00A044E8">
        <w:rPr>
          <w:rFonts w:eastAsiaTheme="minorEastAsia" w:cstheme="minorHAnsi"/>
        </w:rPr>
        <w:t xml:space="preserve">and </w:t>
      </w:r>
      <w:r w:rsidRPr="00A044E8">
        <w:rPr>
          <w:rFonts w:eastAsiaTheme="minorEastAsia" w:cstheme="minorHAnsi"/>
        </w:rPr>
        <w:t xml:space="preserve">wearable </w:t>
      </w:r>
      <w:r w:rsidR="002D3068" w:rsidRPr="00A044E8">
        <w:rPr>
          <w:rFonts w:eastAsiaTheme="minorEastAsia" w:cstheme="minorHAnsi"/>
        </w:rPr>
        <w:t xml:space="preserve">stimulators and </w:t>
      </w:r>
      <w:r w:rsidRPr="00A044E8">
        <w:rPr>
          <w:rFonts w:eastAsiaTheme="minorEastAsia" w:cstheme="minorHAnsi"/>
        </w:rPr>
        <w:t>sensors</w:t>
      </w:r>
      <w:r w:rsidR="00BF6EC8" w:rsidRPr="00A044E8">
        <w:rPr>
          <w:rFonts w:eastAsiaTheme="minorEastAsia" w:cstheme="minorHAnsi"/>
        </w:rPr>
        <w:t>.</w:t>
      </w:r>
    </w:p>
    <w:p w14:paraId="19750B31" w14:textId="76913631" w:rsidR="004A5699" w:rsidRPr="00A044E8" w:rsidRDefault="004A5699" w:rsidP="004A5699">
      <w:pPr>
        <w:pStyle w:val="ListParagraph"/>
        <w:ind w:left="0"/>
      </w:pPr>
    </w:p>
    <w:p w14:paraId="023D1D6B" w14:textId="6317A43F" w:rsidR="00F46204" w:rsidRPr="00A044E8" w:rsidRDefault="004A5699" w:rsidP="004A5699">
      <w:pPr>
        <w:pStyle w:val="ListParagraph"/>
        <w:ind w:left="0"/>
      </w:pPr>
      <w:r w:rsidRPr="00A044E8">
        <w:rPr>
          <w:u w:val="single"/>
        </w:rPr>
        <w:t>Measurement instruments</w:t>
      </w:r>
      <w:r w:rsidRPr="00A044E8">
        <w:t xml:space="preserve">: </w:t>
      </w:r>
      <w:r w:rsidR="007516FE" w:rsidRPr="00A044E8">
        <w:t xml:space="preserve">The </w:t>
      </w:r>
      <w:r w:rsidR="00753553" w:rsidRPr="00A044E8">
        <w:t xml:space="preserve">clinical endpoints </w:t>
      </w:r>
      <w:r w:rsidR="005F64E5" w:rsidRPr="00A044E8">
        <w:t xml:space="preserve">prioritized by the CER </w:t>
      </w:r>
      <w:r w:rsidR="00753553" w:rsidRPr="00A044E8">
        <w:t>(</w:t>
      </w:r>
      <w:hyperlink w:anchor="Table_A1" w:history="1">
        <w:r w:rsidR="00753553" w:rsidRPr="00A044E8">
          <w:rPr>
            <w:rStyle w:val="Hyperlink"/>
          </w:rPr>
          <w:t>Table A1</w:t>
        </w:r>
      </w:hyperlink>
      <w:r w:rsidR="00753553" w:rsidRPr="00A044E8">
        <w:t xml:space="preserve">) </w:t>
      </w:r>
      <w:r w:rsidR="005F64E5" w:rsidRPr="00A044E8">
        <w:t>are</w:t>
      </w:r>
      <w:r w:rsidR="007516FE" w:rsidRPr="00A044E8">
        <w:t xml:space="preserve"> generally measured according to formal, validated scales, and the CER identified published definitions of minimal clinically important differences (MCIDs) for </w:t>
      </w:r>
      <w:r w:rsidR="001B096B" w:rsidRPr="00A044E8">
        <w:t>the scales most frequently used to measure the prioritized clinical endpoints</w:t>
      </w:r>
      <w:r w:rsidR="00B95BDE" w:rsidRPr="00A044E8">
        <w:t xml:space="preserve"> (</w:t>
      </w:r>
      <w:hyperlink w:anchor="Table_C" w:history="1">
        <w:r w:rsidR="00B95BDE" w:rsidRPr="00A044E8">
          <w:rPr>
            <w:rStyle w:val="Hyperlink"/>
          </w:rPr>
          <w:t>Table C</w:t>
        </w:r>
      </w:hyperlink>
      <w:r w:rsidR="00B95BDE" w:rsidRPr="00A044E8">
        <w:t>)</w:t>
      </w:r>
      <w:r w:rsidR="007516FE" w:rsidRPr="00A044E8">
        <w:t xml:space="preserve">. </w:t>
      </w:r>
      <w:r w:rsidR="00F46204" w:rsidRPr="00A044E8">
        <w:t xml:space="preserve">Full descriptions of the prioritized measurement tools and associated validation studies are in Appendix Table C1 of the </w:t>
      </w:r>
      <w:r w:rsidR="00F10BAF" w:rsidRPr="00A044E8">
        <w:t xml:space="preserve">full </w:t>
      </w:r>
      <w:r w:rsidR="00F46204" w:rsidRPr="00A044E8">
        <w:t>CER.</w:t>
      </w:r>
    </w:p>
    <w:p w14:paraId="13FC7CC3" w14:textId="77777777" w:rsidR="00F46204" w:rsidRPr="00A044E8" w:rsidRDefault="00F46204" w:rsidP="003C4121">
      <w:pPr>
        <w:pStyle w:val="ListParagraph"/>
      </w:pPr>
    </w:p>
    <w:p w14:paraId="1B6B6805" w14:textId="3C713685" w:rsidR="007516FE" w:rsidRPr="00A044E8" w:rsidRDefault="001410A7" w:rsidP="00F10BAF">
      <w:pPr>
        <w:pStyle w:val="ListParagraph"/>
        <w:ind w:left="0"/>
      </w:pPr>
      <w:r w:rsidRPr="00A044E8">
        <w:rPr>
          <w:u w:val="single"/>
        </w:rPr>
        <w:t>Information unavailable from the CER</w:t>
      </w:r>
      <w:r w:rsidR="00F10BAF" w:rsidRPr="00A044E8">
        <w:t>: T</w:t>
      </w:r>
      <w:r w:rsidR="007516FE" w:rsidRPr="00A044E8">
        <w:t xml:space="preserve">ypical follow-up duration specific to each clinical endpoint was not provided in the CER. </w:t>
      </w:r>
      <w:r w:rsidR="00F46204" w:rsidRPr="00A044E8">
        <w:t>Nor did the CER analyze the frequency of clinical endpoints according to device type or patient clinical history.</w:t>
      </w:r>
    </w:p>
    <w:p w14:paraId="2AEDA329" w14:textId="77777777" w:rsidR="00896B85" w:rsidRPr="00A044E8" w:rsidRDefault="00896B85" w:rsidP="00896B85">
      <w:pPr>
        <w:pStyle w:val="ListParagraph"/>
      </w:pPr>
    </w:p>
    <w:p w14:paraId="203C46C2" w14:textId="5DC48EBE" w:rsidR="003C4121" w:rsidRPr="00A044E8" w:rsidRDefault="00F10BAF" w:rsidP="00F10BAF">
      <w:pPr>
        <w:pStyle w:val="ListParagraph"/>
        <w:ind w:left="0"/>
      </w:pPr>
      <w:r w:rsidRPr="00A044E8">
        <w:rPr>
          <w:u w:val="single"/>
        </w:rPr>
        <w:t>Applicability to the Medicare beneficiary population</w:t>
      </w:r>
      <w:r w:rsidRPr="00A044E8">
        <w:t xml:space="preserve">: </w:t>
      </w:r>
      <w:r w:rsidR="00F95AE0" w:rsidRPr="00A044E8">
        <w:t xml:space="preserve">None of the systematic reviews or professional guidance documents focused on older adults, but the mean age of study groups ranged from 54 to </w:t>
      </w:r>
      <w:r w:rsidR="00896B85" w:rsidRPr="00A044E8">
        <w:t>77 years</w:t>
      </w:r>
      <w:r w:rsidR="00F95AE0" w:rsidRPr="00A044E8">
        <w:t xml:space="preserve"> across the systematic reviews. The reviews </w:t>
      </w:r>
      <w:r w:rsidR="007516FE" w:rsidRPr="00A044E8">
        <w:t xml:space="preserve">described most study </w:t>
      </w:r>
      <w:r w:rsidR="00F57888" w:rsidRPr="00A044E8">
        <w:t>groups</w:t>
      </w:r>
      <w:r w:rsidR="007516FE" w:rsidRPr="00A044E8">
        <w:t xml:space="preserve"> as representing a mix of disease </w:t>
      </w:r>
      <w:r w:rsidR="00F57888" w:rsidRPr="00A044E8">
        <w:t xml:space="preserve">severity according to the </w:t>
      </w:r>
      <w:r w:rsidR="00F57888" w:rsidRPr="00A044E8">
        <w:rPr>
          <w:rFonts w:eastAsiaTheme="minorEastAsia" w:cstheme="minorHAnsi"/>
        </w:rPr>
        <w:t xml:space="preserve">Hoehn and Yahr scale. The reviews </w:t>
      </w:r>
      <w:r w:rsidR="00F95AE0" w:rsidRPr="00A044E8">
        <w:t xml:space="preserve">did not provide sufficient information to allow assessment of the generalizability of the </w:t>
      </w:r>
      <w:r w:rsidR="00F57888" w:rsidRPr="00A044E8">
        <w:t>CER’s</w:t>
      </w:r>
      <w:r w:rsidR="00F95AE0" w:rsidRPr="00A044E8">
        <w:t xml:space="preserve"> findings </w:t>
      </w:r>
      <w:r w:rsidR="00753553" w:rsidRPr="00A044E8">
        <w:t>concerning</w:t>
      </w:r>
      <w:r w:rsidR="00F95AE0" w:rsidRPr="00A044E8">
        <w:t xml:space="preserve"> </w:t>
      </w:r>
      <w:r w:rsidR="00F57888" w:rsidRPr="00A044E8">
        <w:t xml:space="preserve">patient </w:t>
      </w:r>
      <w:r w:rsidR="007D7D67" w:rsidRPr="00A044E8">
        <w:t xml:space="preserve">comorbidities or </w:t>
      </w:r>
      <w:r w:rsidR="00F57888" w:rsidRPr="00A044E8">
        <w:t>demographics</w:t>
      </w:r>
      <w:r w:rsidR="00A8431A" w:rsidRPr="00A044E8">
        <w:t xml:space="preserve"> other than age</w:t>
      </w:r>
      <w:r w:rsidR="00F57888" w:rsidRPr="00A044E8">
        <w:t>.</w:t>
      </w:r>
    </w:p>
    <w:p w14:paraId="0200112C" w14:textId="77777777" w:rsidR="000042B0" w:rsidRPr="00A044E8" w:rsidRDefault="000042B0" w:rsidP="00CF5886">
      <w:pPr>
        <w:rPr>
          <w:b/>
          <w:bCs/>
        </w:rPr>
        <w:sectPr w:rsidR="000042B0" w:rsidRPr="00A044E8" w:rsidSect="00F57888">
          <w:headerReference w:type="even" r:id="rId8"/>
          <w:headerReference w:type="default" r:id="rId9"/>
          <w:footerReference w:type="even" r:id="rId10"/>
          <w:footerReference w:type="default" r:id="rId11"/>
          <w:headerReference w:type="first" r:id="rId12"/>
          <w:footerReference w:type="first" r:id="rId13"/>
          <w:pgSz w:w="12240" w:h="15840"/>
          <w:pgMar w:top="1080" w:right="1080" w:bottom="1080" w:left="1080" w:header="720" w:footer="720" w:gutter="0"/>
          <w:cols w:space="720"/>
          <w:docGrid w:linePitch="360"/>
        </w:sectPr>
      </w:pPr>
    </w:p>
    <w:p w14:paraId="3C10054D" w14:textId="4C462C82" w:rsidR="008C13B1" w:rsidRPr="00A044E8" w:rsidRDefault="001A3EBE" w:rsidP="00AE494C">
      <w:pPr>
        <w:pStyle w:val="ListParagraph"/>
        <w:ind w:left="0"/>
        <w:rPr>
          <w:b/>
          <w:bCs/>
        </w:rPr>
      </w:pPr>
      <w:bookmarkStart w:id="2" w:name="Table_A1"/>
      <w:r w:rsidRPr="00A044E8">
        <w:rPr>
          <w:b/>
          <w:bCs/>
        </w:rPr>
        <w:lastRenderedPageBreak/>
        <w:t>T</w:t>
      </w:r>
      <w:r w:rsidR="008C13B1" w:rsidRPr="00A044E8">
        <w:rPr>
          <w:b/>
          <w:bCs/>
        </w:rPr>
        <w:t>able A</w:t>
      </w:r>
      <w:r w:rsidR="00AC5638" w:rsidRPr="00A044E8">
        <w:rPr>
          <w:b/>
          <w:bCs/>
        </w:rPr>
        <w:t>1</w:t>
      </w:r>
      <w:r w:rsidR="008C13B1" w:rsidRPr="00A044E8">
        <w:rPr>
          <w:b/>
          <w:bCs/>
        </w:rPr>
        <w:t xml:space="preserve">. </w:t>
      </w:r>
      <w:r w:rsidR="001711F6" w:rsidRPr="00A044E8">
        <w:rPr>
          <w:b/>
          <w:bCs/>
        </w:rPr>
        <w:t xml:space="preserve">Prioritized </w:t>
      </w:r>
      <w:r w:rsidR="00F57888" w:rsidRPr="00A044E8">
        <w:rPr>
          <w:b/>
          <w:bCs/>
        </w:rPr>
        <w:t>Clinical Endpoint</w:t>
      </w:r>
      <w:r w:rsidR="008C13B1" w:rsidRPr="00A044E8">
        <w:rPr>
          <w:b/>
          <w:bCs/>
        </w:rPr>
        <w:t>s</w:t>
      </w:r>
      <w:r w:rsidR="00C131E5" w:rsidRPr="00A044E8">
        <w:rPr>
          <w:b/>
          <w:bCs/>
        </w:rPr>
        <w:t xml:space="preserve"> Identified in </w:t>
      </w:r>
      <w:r w:rsidR="00F57888" w:rsidRPr="00A044E8">
        <w:rPr>
          <w:b/>
          <w:bCs/>
        </w:rPr>
        <w:t>Peer-Reviewed Systematic Reviews</w:t>
      </w:r>
      <w:r w:rsidR="00D03B37" w:rsidRPr="00A044E8">
        <w:rPr>
          <w:b/>
          <w:bCs/>
        </w:rPr>
        <w:t xml:space="preserve"> </w:t>
      </w:r>
      <w:bookmarkEnd w:id="2"/>
      <w:r w:rsidR="00CF199A" w:rsidRPr="00A044E8">
        <w:rPr>
          <w:b/>
          <w:bCs/>
        </w:rPr>
        <w:t>(</w:t>
      </w:r>
      <w:r w:rsidR="00073391" w:rsidRPr="00A044E8">
        <w:rPr>
          <w:b/>
          <w:bCs/>
        </w:rPr>
        <w:t xml:space="preserve">see </w:t>
      </w:r>
      <w:r w:rsidR="00CF199A" w:rsidRPr="00A044E8">
        <w:rPr>
          <w:b/>
          <w:bCs/>
        </w:rPr>
        <w:t>Table 2 in the full CER)</w:t>
      </w:r>
    </w:p>
    <w:p w14:paraId="2FF7C190" w14:textId="1552B321" w:rsidR="00865D95" w:rsidRPr="00A044E8" w:rsidRDefault="00865D95" w:rsidP="00865D95">
      <w:pPr>
        <w:pStyle w:val="ListParagraph"/>
        <w:shd w:val="clear" w:color="auto" w:fill="C5E0B3" w:themeFill="accent6" w:themeFillTint="66"/>
        <w:ind w:left="0"/>
      </w:pPr>
      <w:r w:rsidRPr="00A044E8">
        <w:t xml:space="preserve">Green-shaded boxes </w:t>
      </w:r>
      <w:r w:rsidR="001410A7" w:rsidRPr="00A044E8">
        <w:t xml:space="preserve">reflect feedback from </w:t>
      </w:r>
      <w:r w:rsidR="00753553" w:rsidRPr="00A044E8">
        <w:t xml:space="preserve">one </w:t>
      </w:r>
      <w:r w:rsidRPr="00A044E8">
        <w:t xml:space="preserve">or more of </w:t>
      </w:r>
      <w:r w:rsidR="00753553" w:rsidRPr="00A044E8">
        <w:t>three</w:t>
      </w:r>
      <w:r w:rsidRPr="00A044E8">
        <w:t xml:space="preserve"> expert</w:t>
      </w:r>
      <w:r w:rsidR="005C7BFB" w:rsidRPr="00A044E8">
        <w:t>s</w:t>
      </w:r>
      <w:r w:rsidRPr="00A044E8">
        <w:t xml:space="preserve"> </w:t>
      </w:r>
      <w:r w:rsidR="005C7BFB" w:rsidRPr="00A044E8">
        <w:t>who reviewed</w:t>
      </w:r>
      <w:r w:rsidRPr="00A044E8">
        <w:t xml:space="preserve"> the </w:t>
      </w:r>
      <w:r w:rsidR="005C7BFB" w:rsidRPr="00A044E8">
        <w:t xml:space="preserve">completed </w:t>
      </w:r>
      <w:r w:rsidRPr="00A044E8">
        <w:t xml:space="preserve">CER. </w:t>
      </w:r>
      <w:r w:rsidR="00073391" w:rsidRPr="00A044E8">
        <w:t>I</w:t>
      </w:r>
      <w:r w:rsidRPr="00A044E8">
        <w:t xml:space="preserve">nstruments </w:t>
      </w:r>
      <w:r w:rsidR="001410A7" w:rsidRPr="00A044E8">
        <w:t>in these boxes were</w:t>
      </w:r>
      <w:r w:rsidRPr="00A044E8">
        <w:t xml:space="preserve"> taken from Appendix </w:t>
      </w:r>
      <w:r w:rsidR="001410A7" w:rsidRPr="00A044E8">
        <w:t xml:space="preserve">Table </w:t>
      </w:r>
      <w:r w:rsidRPr="00A044E8">
        <w:t>B2 of the CER</w:t>
      </w:r>
      <w:r w:rsidR="00073391" w:rsidRPr="00A044E8">
        <w:t xml:space="preserve"> or</w:t>
      </w:r>
      <w:r w:rsidR="001410A7" w:rsidRPr="00A044E8">
        <w:t xml:space="preserve"> </w:t>
      </w:r>
      <w:r w:rsidR="00382459" w:rsidRPr="00A044E8">
        <w:t>were recommended by a reviewer.</w:t>
      </w:r>
    </w:p>
    <w:tbl>
      <w:tblPr>
        <w:tblStyle w:val="TableGrid3"/>
        <w:tblW w:w="5000" w:type="pct"/>
        <w:tblLook w:val="04A0" w:firstRow="1" w:lastRow="0" w:firstColumn="1" w:lastColumn="0" w:noHBand="0" w:noVBand="1"/>
      </w:tblPr>
      <w:tblGrid>
        <w:gridCol w:w="3598"/>
        <w:gridCol w:w="3064"/>
        <w:gridCol w:w="4128"/>
      </w:tblGrid>
      <w:tr w:rsidR="002B0529" w:rsidRPr="00A044E8" w14:paraId="091064F1" w14:textId="77777777" w:rsidTr="00337A84">
        <w:tc>
          <w:tcPr>
            <w:tcW w:w="1667" w:type="pct"/>
            <w:shd w:val="clear" w:color="auto" w:fill="2E74B5"/>
            <w:vAlign w:val="center"/>
          </w:tcPr>
          <w:p w14:paraId="6802680C" w14:textId="3262199A" w:rsidR="00643971" w:rsidRPr="00A044E8" w:rsidRDefault="00643971" w:rsidP="00643971">
            <w:pPr>
              <w:spacing w:line="276" w:lineRule="auto"/>
              <w:jc w:val="center"/>
              <w:rPr>
                <w:rFonts w:ascii="Calibri" w:eastAsia="Calibri" w:hAnsi="Calibri" w:cs="Calibri"/>
                <w:b/>
                <w:bCs/>
                <w:color w:val="FFFFFF"/>
                <w:sz w:val="18"/>
                <w:szCs w:val="18"/>
              </w:rPr>
            </w:pPr>
            <w:r w:rsidRPr="00A044E8">
              <w:rPr>
                <w:rFonts w:ascii="Calibri" w:eastAsia="Calibri" w:hAnsi="Calibri" w:cs="Calibri"/>
                <w:b/>
                <w:bCs/>
                <w:color w:val="FFFFFF"/>
                <w:sz w:val="18"/>
                <w:szCs w:val="18"/>
              </w:rPr>
              <w:t>Domain</w:t>
            </w:r>
          </w:p>
        </w:tc>
        <w:tc>
          <w:tcPr>
            <w:tcW w:w="1420" w:type="pct"/>
            <w:shd w:val="clear" w:color="auto" w:fill="2E74B5"/>
            <w:vAlign w:val="center"/>
          </w:tcPr>
          <w:p w14:paraId="3F5E7877" w14:textId="787D069A" w:rsidR="00643971" w:rsidRPr="00A044E8" w:rsidRDefault="00643971" w:rsidP="00643971">
            <w:pPr>
              <w:spacing w:line="276" w:lineRule="auto"/>
              <w:jc w:val="center"/>
              <w:rPr>
                <w:rFonts w:ascii="Calibri" w:eastAsia="Calibri" w:hAnsi="Calibri" w:cs="Calibri"/>
                <w:color w:val="FFFFFF"/>
                <w:sz w:val="18"/>
                <w:szCs w:val="18"/>
              </w:rPr>
            </w:pPr>
            <w:r w:rsidRPr="00A044E8">
              <w:rPr>
                <w:rFonts w:ascii="Calibri" w:eastAsia="Calibri" w:hAnsi="Calibri" w:cs="Calibri"/>
                <w:b/>
                <w:bCs/>
                <w:color w:val="FFFFFF"/>
                <w:sz w:val="18"/>
                <w:szCs w:val="18"/>
              </w:rPr>
              <w:t>Clinical endpoints (citation volume )</w:t>
            </w:r>
            <w:r w:rsidR="003B57E5" w:rsidRPr="00A044E8">
              <w:rPr>
                <w:rFonts w:ascii="Calibri" w:eastAsia="Calibri" w:hAnsi="Calibri" w:cs="Calibri"/>
                <w:b/>
                <w:bCs/>
                <w:color w:val="FFFFFF"/>
                <w:sz w:val="18"/>
                <w:szCs w:val="18"/>
              </w:rPr>
              <w:t>*</w:t>
            </w:r>
          </w:p>
        </w:tc>
        <w:tc>
          <w:tcPr>
            <w:tcW w:w="1913" w:type="pct"/>
            <w:shd w:val="clear" w:color="auto" w:fill="2E74B5"/>
            <w:vAlign w:val="center"/>
          </w:tcPr>
          <w:p w14:paraId="26403A7C" w14:textId="0ED75E72" w:rsidR="00643971" w:rsidRPr="00A044E8" w:rsidRDefault="00643971" w:rsidP="00643971">
            <w:pPr>
              <w:spacing w:line="276" w:lineRule="auto"/>
              <w:jc w:val="center"/>
              <w:rPr>
                <w:rFonts w:ascii="Calibri" w:eastAsia="Calibri" w:hAnsi="Calibri" w:cs="Calibri"/>
                <w:color w:val="FFFFFF"/>
                <w:sz w:val="18"/>
                <w:szCs w:val="18"/>
              </w:rPr>
            </w:pPr>
            <w:r w:rsidRPr="00A044E8">
              <w:rPr>
                <w:rFonts w:ascii="Calibri" w:eastAsia="Calibri" w:hAnsi="Calibri" w:cs="Calibri"/>
                <w:b/>
                <w:bCs/>
                <w:color w:val="FFFFFF"/>
                <w:sz w:val="18"/>
                <w:szCs w:val="18"/>
              </w:rPr>
              <w:t>Instruments (citation volume)</w:t>
            </w:r>
            <w:r w:rsidR="003B57E5" w:rsidRPr="00A044E8">
              <w:rPr>
                <w:rFonts w:ascii="Calibri" w:eastAsia="Calibri" w:hAnsi="Calibri" w:cs="Calibri"/>
                <w:color w:val="FFFFFF"/>
                <w:sz w:val="18"/>
                <w:szCs w:val="18"/>
              </w:rPr>
              <w:t>†</w:t>
            </w:r>
          </w:p>
        </w:tc>
      </w:tr>
      <w:tr w:rsidR="00204836" w:rsidRPr="00A044E8" w14:paraId="0EB60CE4" w14:textId="77777777" w:rsidTr="00337A84">
        <w:tc>
          <w:tcPr>
            <w:tcW w:w="5000" w:type="pct"/>
            <w:gridSpan w:val="3"/>
            <w:shd w:val="clear" w:color="auto" w:fill="9CC2E5"/>
            <w:vAlign w:val="center"/>
          </w:tcPr>
          <w:p w14:paraId="54FD2660" w14:textId="77777777" w:rsidR="00643971" w:rsidRPr="00A044E8" w:rsidRDefault="00643971" w:rsidP="00643971">
            <w:pPr>
              <w:spacing w:line="276" w:lineRule="auto"/>
              <w:rPr>
                <w:rFonts w:ascii="Calibri" w:eastAsia="Calibri" w:hAnsi="Calibri" w:cs="Calibri"/>
                <w:b/>
                <w:bCs/>
                <w:sz w:val="18"/>
                <w:szCs w:val="18"/>
              </w:rPr>
            </w:pPr>
            <w:r w:rsidRPr="00A044E8">
              <w:rPr>
                <w:rFonts w:ascii="Calibri" w:eastAsia="Calibri" w:hAnsi="Calibri" w:cs="Calibri"/>
                <w:b/>
                <w:bCs/>
                <w:sz w:val="18"/>
                <w:szCs w:val="18"/>
              </w:rPr>
              <w:t>PARKINSON’S DISEASE</w:t>
            </w:r>
          </w:p>
        </w:tc>
      </w:tr>
      <w:tr w:rsidR="00203F43" w:rsidRPr="00A044E8" w14:paraId="7BE0D48A" w14:textId="77777777" w:rsidTr="00337A84">
        <w:tc>
          <w:tcPr>
            <w:tcW w:w="1667" w:type="pct"/>
            <w:vMerge w:val="restart"/>
            <w:vAlign w:val="center"/>
          </w:tcPr>
          <w:p w14:paraId="0CBD11DE" w14:textId="77777777" w:rsidR="00203F43" w:rsidRPr="00A044E8" w:rsidRDefault="00203F43" w:rsidP="00643971">
            <w:pPr>
              <w:spacing w:line="276" w:lineRule="auto"/>
              <w:rPr>
                <w:rFonts w:ascii="Calibri" w:eastAsia="Calibri" w:hAnsi="Calibri" w:cs="Calibri"/>
                <w:b/>
                <w:bCs/>
                <w:sz w:val="18"/>
                <w:szCs w:val="18"/>
              </w:rPr>
            </w:pPr>
            <w:r w:rsidRPr="00A044E8">
              <w:rPr>
                <w:rFonts w:ascii="Calibri" w:eastAsia="Calibri" w:hAnsi="Calibri" w:cs="Calibri"/>
                <w:b/>
                <w:bCs/>
                <w:sz w:val="18"/>
                <w:szCs w:val="18"/>
              </w:rPr>
              <w:t>Clinician-Assessed Health Outcomes</w:t>
            </w:r>
          </w:p>
          <w:p w14:paraId="79193C66" w14:textId="0C1B215C" w:rsidR="00D940A2" w:rsidRPr="00A044E8" w:rsidRDefault="00D940A2" w:rsidP="00643971">
            <w:pPr>
              <w:spacing w:line="276" w:lineRule="auto"/>
              <w:rPr>
                <w:rFonts w:ascii="Calibri" w:eastAsia="Calibri" w:hAnsi="Calibri" w:cs="Calibri"/>
                <w:sz w:val="18"/>
                <w:szCs w:val="18"/>
              </w:rPr>
            </w:pPr>
            <w:r w:rsidRPr="00A044E8">
              <w:rPr>
                <w:rFonts w:ascii="Calibri" w:eastAsia="Calibri" w:hAnsi="Calibri" w:cs="Calibri"/>
                <w:sz w:val="18"/>
                <w:szCs w:val="18"/>
              </w:rPr>
              <w:t>(Directly assessed by a clinician or evaluated in the context of a clinician-administered instrument that includes some self-report items.)</w:t>
            </w:r>
          </w:p>
        </w:tc>
        <w:tc>
          <w:tcPr>
            <w:tcW w:w="1420" w:type="pct"/>
            <w:tcBorders>
              <w:bottom w:val="single" w:sz="4" w:space="0" w:color="000000"/>
            </w:tcBorders>
            <w:vAlign w:val="center"/>
          </w:tcPr>
          <w:p w14:paraId="582F1063" w14:textId="035A0C04" w:rsidR="00203F43" w:rsidRPr="00A044E8" w:rsidRDefault="00203F43" w:rsidP="00643971">
            <w:pPr>
              <w:spacing w:line="276" w:lineRule="auto"/>
              <w:rPr>
                <w:rFonts w:ascii="Calibri" w:eastAsia="Calibri" w:hAnsi="Calibri" w:cs="Calibri"/>
                <w:sz w:val="18"/>
                <w:szCs w:val="18"/>
              </w:rPr>
            </w:pPr>
            <w:r w:rsidRPr="00A044E8">
              <w:rPr>
                <w:rFonts w:ascii="Calibri" w:eastAsia="Calibri" w:hAnsi="Calibri" w:cs="Calibri"/>
                <w:sz w:val="18"/>
                <w:szCs w:val="18"/>
              </w:rPr>
              <w:t xml:space="preserve">Global change in motor symptom severity </w:t>
            </w:r>
            <w:r w:rsidR="001E4AC8" w:rsidRPr="00A044E8">
              <w:rPr>
                <w:rFonts w:ascii="Calibri" w:eastAsia="Calibri" w:hAnsi="Calibri" w:cs="Calibri"/>
                <w:sz w:val="18"/>
                <w:szCs w:val="18"/>
              </w:rPr>
              <w:t xml:space="preserve">(motor score) </w:t>
            </w:r>
            <w:r w:rsidRPr="00A044E8">
              <w:rPr>
                <w:rFonts w:ascii="Calibri" w:eastAsia="Calibri" w:hAnsi="Calibri" w:cs="Calibri"/>
                <w:sz w:val="18"/>
                <w:szCs w:val="18"/>
              </w:rPr>
              <w:t>(65%)</w:t>
            </w:r>
          </w:p>
        </w:tc>
        <w:tc>
          <w:tcPr>
            <w:tcW w:w="1913" w:type="pct"/>
            <w:tcBorders>
              <w:bottom w:val="single" w:sz="4" w:space="0" w:color="000000"/>
            </w:tcBorders>
            <w:vAlign w:val="center"/>
          </w:tcPr>
          <w:p w14:paraId="20947F35" w14:textId="77777777" w:rsidR="00203F43" w:rsidRPr="00A044E8" w:rsidRDefault="00203F43" w:rsidP="00643971">
            <w:pPr>
              <w:spacing w:line="276" w:lineRule="auto"/>
              <w:rPr>
                <w:rFonts w:ascii="Calibri" w:eastAsia="Calibri" w:hAnsi="Calibri" w:cs="Calibri"/>
                <w:sz w:val="18"/>
                <w:szCs w:val="18"/>
              </w:rPr>
            </w:pPr>
            <w:r w:rsidRPr="00A044E8">
              <w:rPr>
                <w:rFonts w:ascii="Calibri" w:eastAsia="Calibri" w:hAnsi="Calibri" w:cs="Calibri"/>
                <w:sz w:val="18"/>
                <w:szCs w:val="18"/>
              </w:rPr>
              <w:t>UPDRS III (97.8%)</w:t>
            </w:r>
          </w:p>
        </w:tc>
      </w:tr>
      <w:tr w:rsidR="00203F43" w:rsidRPr="00A044E8" w14:paraId="6BCCC139" w14:textId="77777777" w:rsidTr="00337A84">
        <w:trPr>
          <w:trHeight w:val="44"/>
        </w:trPr>
        <w:tc>
          <w:tcPr>
            <w:tcW w:w="1667" w:type="pct"/>
            <w:vMerge/>
            <w:vAlign w:val="center"/>
          </w:tcPr>
          <w:p w14:paraId="7B46AC7D" w14:textId="77777777" w:rsidR="00203F43" w:rsidRPr="00A044E8" w:rsidRDefault="00203F43" w:rsidP="00643971">
            <w:pPr>
              <w:spacing w:line="276" w:lineRule="auto"/>
              <w:rPr>
                <w:rFonts w:ascii="Calibri" w:eastAsia="Calibri" w:hAnsi="Calibri" w:cs="Calibri"/>
                <w:sz w:val="18"/>
                <w:szCs w:val="18"/>
              </w:rPr>
            </w:pPr>
          </w:p>
        </w:tc>
        <w:tc>
          <w:tcPr>
            <w:tcW w:w="1420" w:type="pct"/>
            <w:tcBorders>
              <w:bottom w:val="nil"/>
            </w:tcBorders>
            <w:shd w:val="clear" w:color="auto" w:fill="auto"/>
            <w:vAlign w:val="center"/>
          </w:tcPr>
          <w:p w14:paraId="480CE62D" w14:textId="4194F9B2" w:rsidR="00203F43" w:rsidRPr="00A044E8" w:rsidRDefault="00203F43" w:rsidP="00643971">
            <w:pPr>
              <w:spacing w:line="276" w:lineRule="auto"/>
              <w:rPr>
                <w:rFonts w:ascii="Calibri" w:eastAsia="Calibri" w:hAnsi="Calibri" w:cs="Calibri"/>
                <w:sz w:val="18"/>
                <w:szCs w:val="18"/>
              </w:rPr>
            </w:pPr>
            <w:r w:rsidRPr="00A044E8">
              <w:rPr>
                <w:rFonts w:ascii="Calibri" w:eastAsia="Calibri" w:hAnsi="Calibri" w:cs="Calibri"/>
                <w:sz w:val="18"/>
                <w:szCs w:val="18"/>
              </w:rPr>
              <w:t>Gait function, postural instability, balance, falls (40%)</w:t>
            </w:r>
          </w:p>
        </w:tc>
        <w:tc>
          <w:tcPr>
            <w:tcW w:w="1913" w:type="pct"/>
            <w:tcBorders>
              <w:bottom w:val="nil"/>
            </w:tcBorders>
            <w:shd w:val="clear" w:color="auto" w:fill="auto"/>
            <w:vAlign w:val="center"/>
          </w:tcPr>
          <w:p w14:paraId="74B8ACDE" w14:textId="3D24CE58" w:rsidR="00203F43" w:rsidRPr="00A044E8" w:rsidRDefault="00203F43" w:rsidP="00643971">
            <w:pPr>
              <w:spacing w:line="276" w:lineRule="auto"/>
              <w:rPr>
                <w:rFonts w:ascii="Calibri" w:eastAsia="Calibri" w:hAnsi="Calibri" w:cs="Calibri"/>
                <w:sz w:val="18"/>
                <w:szCs w:val="18"/>
              </w:rPr>
            </w:pPr>
            <w:r w:rsidRPr="00A044E8">
              <w:rPr>
                <w:rFonts w:ascii="Calibri" w:eastAsia="Calibri" w:hAnsi="Calibri" w:cs="Calibri"/>
                <w:sz w:val="18"/>
                <w:szCs w:val="18"/>
              </w:rPr>
              <w:t>FOG-Q (60.3%) and TUG (60.3%)</w:t>
            </w:r>
          </w:p>
        </w:tc>
      </w:tr>
      <w:tr w:rsidR="00203F43" w:rsidRPr="00A044E8" w14:paraId="16411C9E" w14:textId="77777777" w:rsidTr="00337A84">
        <w:trPr>
          <w:trHeight w:val="44"/>
        </w:trPr>
        <w:tc>
          <w:tcPr>
            <w:tcW w:w="1667" w:type="pct"/>
            <w:vMerge/>
            <w:vAlign w:val="center"/>
          </w:tcPr>
          <w:p w14:paraId="2C155DCE" w14:textId="77777777" w:rsidR="00203F43" w:rsidRPr="00A044E8" w:rsidRDefault="00203F43" w:rsidP="00643971">
            <w:pPr>
              <w:spacing w:line="276" w:lineRule="auto"/>
              <w:rPr>
                <w:rFonts w:ascii="Calibri" w:eastAsia="Calibri" w:hAnsi="Calibri" w:cs="Calibri"/>
                <w:sz w:val="18"/>
                <w:szCs w:val="18"/>
              </w:rPr>
            </w:pPr>
          </w:p>
        </w:tc>
        <w:tc>
          <w:tcPr>
            <w:tcW w:w="1420" w:type="pct"/>
            <w:tcBorders>
              <w:top w:val="nil"/>
            </w:tcBorders>
            <w:shd w:val="clear" w:color="auto" w:fill="C5E0B3" w:themeFill="accent6" w:themeFillTint="66"/>
            <w:vAlign w:val="center"/>
          </w:tcPr>
          <w:p w14:paraId="4ABC6653" w14:textId="5C785852" w:rsidR="00203F43" w:rsidRPr="00A044E8" w:rsidRDefault="004F1B11" w:rsidP="00643971">
            <w:pPr>
              <w:spacing w:line="276" w:lineRule="auto"/>
              <w:rPr>
                <w:rFonts w:ascii="Calibri" w:eastAsia="Calibri" w:hAnsi="Calibri" w:cs="Calibri"/>
                <w:i/>
                <w:iCs/>
                <w:sz w:val="18"/>
                <w:szCs w:val="18"/>
              </w:rPr>
            </w:pPr>
            <w:r w:rsidRPr="00A044E8">
              <w:rPr>
                <w:rFonts w:eastAsia="Calibri" w:cstheme="minorHAnsi"/>
                <w:i/>
                <w:iCs/>
                <w:sz w:val="18"/>
                <w:szCs w:val="18"/>
              </w:rPr>
              <w:t>(esp.</w:t>
            </w:r>
            <w:r w:rsidRPr="00A044E8">
              <w:rPr>
                <w:rFonts w:ascii="Calibri" w:eastAsia="Calibri" w:hAnsi="Calibri" w:cs="Calibri"/>
                <w:i/>
                <w:iCs/>
                <w:sz w:val="18"/>
                <w:szCs w:val="18"/>
              </w:rPr>
              <w:t xml:space="preserve"> important, adults aged ≥65 years) </w:t>
            </w:r>
          </w:p>
        </w:tc>
        <w:tc>
          <w:tcPr>
            <w:tcW w:w="1913" w:type="pct"/>
            <w:tcBorders>
              <w:top w:val="nil"/>
            </w:tcBorders>
            <w:shd w:val="clear" w:color="auto" w:fill="C5E0B3" w:themeFill="accent6" w:themeFillTint="66"/>
            <w:vAlign w:val="center"/>
          </w:tcPr>
          <w:p w14:paraId="38AE6AB9" w14:textId="662369AF" w:rsidR="00203F43" w:rsidRPr="00A044E8" w:rsidRDefault="00073391" w:rsidP="00643971">
            <w:pPr>
              <w:spacing w:line="276" w:lineRule="auto"/>
              <w:rPr>
                <w:rFonts w:ascii="Calibri" w:eastAsia="Calibri" w:hAnsi="Calibri" w:cs="Calibri"/>
                <w:sz w:val="18"/>
                <w:szCs w:val="18"/>
              </w:rPr>
            </w:pPr>
            <w:r w:rsidRPr="00A044E8">
              <w:rPr>
                <w:rFonts w:ascii="Calibri" w:eastAsia="Calibri" w:hAnsi="Calibri" w:cs="Calibri"/>
                <w:sz w:val="18"/>
                <w:szCs w:val="18"/>
              </w:rPr>
              <w:t xml:space="preserve">Relevant items from </w:t>
            </w:r>
            <w:r w:rsidR="00203F43" w:rsidRPr="00A044E8">
              <w:rPr>
                <w:rFonts w:ascii="Calibri" w:eastAsia="Calibri" w:hAnsi="Calibri" w:cs="Calibri"/>
                <w:sz w:val="18"/>
                <w:szCs w:val="18"/>
              </w:rPr>
              <w:t xml:space="preserve">MDS-UPDRS III </w:t>
            </w:r>
            <w:r w:rsidRPr="00A044E8">
              <w:rPr>
                <w:rFonts w:ascii="Calibri" w:eastAsia="Calibri" w:hAnsi="Calibri" w:cs="Calibri"/>
                <w:sz w:val="18"/>
                <w:szCs w:val="18"/>
              </w:rPr>
              <w:t xml:space="preserve">and </w:t>
            </w:r>
            <w:r w:rsidR="001410A7" w:rsidRPr="00A044E8">
              <w:rPr>
                <w:rFonts w:ascii="Calibri" w:eastAsia="Calibri" w:hAnsi="Calibri" w:cs="Calibri"/>
                <w:sz w:val="18"/>
                <w:szCs w:val="18"/>
              </w:rPr>
              <w:t xml:space="preserve">MDS-UPDRS II </w:t>
            </w:r>
          </w:p>
        </w:tc>
      </w:tr>
      <w:tr w:rsidR="00B40890" w:rsidRPr="00A044E8" w14:paraId="1CCBA478" w14:textId="77777777" w:rsidTr="00337A84">
        <w:trPr>
          <w:trHeight w:val="44"/>
        </w:trPr>
        <w:tc>
          <w:tcPr>
            <w:tcW w:w="1667" w:type="pct"/>
            <w:vMerge/>
            <w:vAlign w:val="center"/>
          </w:tcPr>
          <w:p w14:paraId="5E9FE39F" w14:textId="77777777" w:rsidR="00B40890" w:rsidRPr="00A044E8" w:rsidRDefault="00B40890" w:rsidP="00B40890">
            <w:pPr>
              <w:spacing w:line="276" w:lineRule="auto"/>
              <w:rPr>
                <w:rFonts w:ascii="Calibri" w:eastAsia="Calibri" w:hAnsi="Calibri" w:cs="Calibri"/>
                <w:sz w:val="18"/>
                <w:szCs w:val="18"/>
              </w:rPr>
            </w:pPr>
          </w:p>
        </w:tc>
        <w:tc>
          <w:tcPr>
            <w:tcW w:w="1420" w:type="pct"/>
            <w:shd w:val="clear" w:color="auto" w:fill="C5E0B3" w:themeFill="accent6" w:themeFillTint="66"/>
            <w:vAlign w:val="center"/>
          </w:tcPr>
          <w:p w14:paraId="4D465A9F" w14:textId="77777777" w:rsidR="004F1B11" w:rsidRPr="00A044E8" w:rsidRDefault="00B40890" w:rsidP="00B40890">
            <w:pPr>
              <w:spacing w:line="276" w:lineRule="auto"/>
              <w:rPr>
                <w:rFonts w:ascii="Calibri" w:eastAsia="Calibri" w:hAnsi="Calibri" w:cs="Calibri"/>
                <w:sz w:val="18"/>
                <w:szCs w:val="18"/>
              </w:rPr>
            </w:pPr>
            <w:r w:rsidRPr="00A044E8">
              <w:rPr>
                <w:rFonts w:ascii="Calibri" w:eastAsia="Calibri" w:hAnsi="Calibri" w:cs="Calibri"/>
                <w:sz w:val="18"/>
                <w:szCs w:val="18"/>
              </w:rPr>
              <w:t xml:space="preserve">Motor complications </w:t>
            </w:r>
          </w:p>
          <w:p w14:paraId="36EC3336" w14:textId="4609711B" w:rsidR="00B40890" w:rsidRPr="00A044E8" w:rsidRDefault="00B40890" w:rsidP="00B40890">
            <w:pPr>
              <w:spacing w:line="276" w:lineRule="auto"/>
              <w:rPr>
                <w:rFonts w:ascii="Calibri" w:eastAsia="Calibri" w:hAnsi="Calibri" w:cs="Calibri"/>
                <w:i/>
                <w:iCs/>
                <w:sz w:val="18"/>
                <w:szCs w:val="18"/>
              </w:rPr>
            </w:pPr>
            <w:r w:rsidRPr="00A044E8">
              <w:rPr>
                <w:rFonts w:ascii="Calibri" w:eastAsia="Calibri" w:hAnsi="Calibri" w:cs="Calibri"/>
                <w:i/>
                <w:iCs/>
                <w:sz w:val="18"/>
                <w:szCs w:val="18"/>
              </w:rPr>
              <w:t>(</w:t>
            </w:r>
            <w:r w:rsidR="004F1B11" w:rsidRPr="00A044E8">
              <w:rPr>
                <w:rFonts w:ascii="Calibri" w:eastAsia="Calibri" w:hAnsi="Calibri" w:cs="Calibri"/>
                <w:i/>
                <w:iCs/>
                <w:sz w:val="18"/>
                <w:szCs w:val="18"/>
              </w:rPr>
              <w:t xml:space="preserve">esp. </w:t>
            </w:r>
            <w:r w:rsidRPr="00A044E8">
              <w:rPr>
                <w:rFonts w:ascii="Calibri" w:eastAsia="Calibri" w:hAnsi="Calibri" w:cs="Calibri"/>
                <w:i/>
                <w:iCs/>
                <w:sz w:val="18"/>
                <w:szCs w:val="18"/>
              </w:rPr>
              <w:t>important</w:t>
            </w:r>
            <w:r w:rsidR="004F1B11" w:rsidRPr="00A044E8">
              <w:rPr>
                <w:rFonts w:ascii="Calibri" w:eastAsia="Calibri" w:hAnsi="Calibri" w:cs="Calibri"/>
                <w:i/>
                <w:iCs/>
                <w:sz w:val="18"/>
                <w:szCs w:val="18"/>
              </w:rPr>
              <w:t xml:space="preserve">, </w:t>
            </w:r>
            <w:r w:rsidRPr="00A044E8">
              <w:rPr>
                <w:rFonts w:ascii="Calibri" w:eastAsia="Calibri" w:hAnsi="Calibri" w:cs="Calibri"/>
                <w:i/>
                <w:iCs/>
                <w:sz w:val="18"/>
                <w:szCs w:val="18"/>
              </w:rPr>
              <w:t>disease duration &gt;5-7 years)</w:t>
            </w:r>
          </w:p>
        </w:tc>
        <w:tc>
          <w:tcPr>
            <w:tcW w:w="1913" w:type="pct"/>
            <w:shd w:val="clear" w:color="auto" w:fill="C5E0B3" w:themeFill="accent6" w:themeFillTint="66"/>
            <w:vAlign w:val="center"/>
          </w:tcPr>
          <w:p w14:paraId="1E758067" w14:textId="6EE6DFCF" w:rsidR="00B40890" w:rsidRPr="00A044E8" w:rsidRDefault="00B40890" w:rsidP="00B40890">
            <w:pPr>
              <w:spacing w:line="276" w:lineRule="auto"/>
              <w:rPr>
                <w:rFonts w:ascii="Calibri" w:eastAsia="Calibri" w:hAnsi="Calibri" w:cs="Calibri"/>
                <w:sz w:val="18"/>
                <w:szCs w:val="18"/>
              </w:rPr>
            </w:pPr>
            <w:r w:rsidRPr="00A044E8">
              <w:rPr>
                <w:rFonts w:ascii="Calibri" w:eastAsia="Calibri" w:hAnsi="Calibri" w:cs="Calibri"/>
                <w:sz w:val="18"/>
                <w:szCs w:val="18"/>
              </w:rPr>
              <w:t xml:space="preserve">UPDRS or MDS-UPDRS IV </w:t>
            </w:r>
          </w:p>
        </w:tc>
      </w:tr>
      <w:tr w:rsidR="00B40890" w:rsidRPr="00A044E8" w14:paraId="63701967" w14:textId="77777777" w:rsidTr="00337A84">
        <w:trPr>
          <w:trHeight w:val="44"/>
        </w:trPr>
        <w:tc>
          <w:tcPr>
            <w:tcW w:w="1667" w:type="pct"/>
            <w:vMerge/>
            <w:vAlign w:val="center"/>
          </w:tcPr>
          <w:p w14:paraId="4B715A26" w14:textId="77777777" w:rsidR="00B40890" w:rsidRPr="00A044E8" w:rsidRDefault="00B40890" w:rsidP="00B40890">
            <w:pPr>
              <w:spacing w:line="276" w:lineRule="auto"/>
              <w:rPr>
                <w:rFonts w:ascii="Calibri" w:eastAsia="Calibri" w:hAnsi="Calibri" w:cs="Calibri"/>
                <w:sz w:val="18"/>
                <w:szCs w:val="18"/>
              </w:rPr>
            </w:pPr>
          </w:p>
        </w:tc>
        <w:tc>
          <w:tcPr>
            <w:tcW w:w="1420" w:type="pct"/>
            <w:shd w:val="clear" w:color="auto" w:fill="C5E0B3" w:themeFill="accent6" w:themeFillTint="66"/>
            <w:vAlign w:val="center"/>
          </w:tcPr>
          <w:p w14:paraId="569C3361" w14:textId="5E7A22B7" w:rsidR="00B40890" w:rsidRPr="00A044E8" w:rsidRDefault="00B40890" w:rsidP="00B40890">
            <w:pPr>
              <w:spacing w:line="276" w:lineRule="auto"/>
              <w:rPr>
                <w:rFonts w:ascii="Calibri" w:eastAsia="Calibri" w:hAnsi="Calibri" w:cs="Calibri"/>
                <w:sz w:val="18"/>
                <w:szCs w:val="18"/>
              </w:rPr>
            </w:pPr>
            <w:r w:rsidRPr="00A044E8">
              <w:rPr>
                <w:rFonts w:ascii="Calibri" w:eastAsia="Calibri" w:hAnsi="Calibri" w:cs="Calibri"/>
                <w:sz w:val="18"/>
                <w:szCs w:val="18"/>
              </w:rPr>
              <w:t xml:space="preserve">Reduction in dyskinesia </w:t>
            </w:r>
            <w:r w:rsidR="00CF73AD" w:rsidRPr="00A044E8">
              <w:rPr>
                <w:rFonts w:ascii="Calibri" w:eastAsia="Calibri" w:hAnsi="Calibri" w:cs="Calibri"/>
                <w:sz w:val="18"/>
                <w:szCs w:val="18"/>
              </w:rPr>
              <w:t>(29%)</w:t>
            </w:r>
          </w:p>
        </w:tc>
        <w:tc>
          <w:tcPr>
            <w:tcW w:w="1913" w:type="pct"/>
            <w:tcBorders>
              <w:bottom w:val="single" w:sz="4" w:space="0" w:color="000000"/>
            </w:tcBorders>
            <w:shd w:val="clear" w:color="auto" w:fill="C5E0B3" w:themeFill="accent6" w:themeFillTint="66"/>
            <w:vAlign w:val="center"/>
          </w:tcPr>
          <w:p w14:paraId="416BE655" w14:textId="680E1C9E" w:rsidR="00B40890" w:rsidRPr="00A044E8" w:rsidRDefault="00B40890" w:rsidP="00B40890">
            <w:pPr>
              <w:spacing w:line="276" w:lineRule="auto"/>
              <w:rPr>
                <w:rFonts w:ascii="Calibri" w:eastAsia="Calibri" w:hAnsi="Calibri" w:cs="Calibri"/>
                <w:sz w:val="18"/>
                <w:szCs w:val="18"/>
              </w:rPr>
            </w:pPr>
            <w:r w:rsidRPr="00A044E8">
              <w:rPr>
                <w:rFonts w:ascii="Calibri" w:eastAsia="Calibri" w:hAnsi="Calibri" w:cs="Calibri"/>
                <w:sz w:val="18"/>
                <w:szCs w:val="18"/>
              </w:rPr>
              <w:t xml:space="preserve">Relevant items from MDS-UPDRS Part IV </w:t>
            </w:r>
          </w:p>
        </w:tc>
      </w:tr>
      <w:tr w:rsidR="00B40890" w:rsidRPr="00A044E8" w14:paraId="0915854D" w14:textId="77777777" w:rsidTr="00337A84">
        <w:trPr>
          <w:trHeight w:val="38"/>
        </w:trPr>
        <w:tc>
          <w:tcPr>
            <w:tcW w:w="1667" w:type="pct"/>
            <w:vMerge/>
            <w:vAlign w:val="center"/>
          </w:tcPr>
          <w:p w14:paraId="44BDFCF2" w14:textId="77777777" w:rsidR="00B40890" w:rsidRPr="00A044E8" w:rsidRDefault="00B40890" w:rsidP="00B40890">
            <w:pPr>
              <w:spacing w:line="276" w:lineRule="auto"/>
              <w:rPr>
                <w:rFonts w:ascii="Calibri" w:eastAsia="Calibri" w:hAnsi="Calibri" w:cs="Calibri"/>
                <w:sz w:val="18"/>
                <w:szCs w:val="18"/>
              </w:rPr>
            </w:pPr>
          </w:p>
        </w:tc>
        <w:tc>
          <w:tcPr>
            <w:tcW w:w="1420" w:type="pct"/>
            <w:vMerge w:val="restart"/>
            <w:shd w:val="clear" w:color="auto" w:fill="auto"/>
            <w:vAlign w:val="center"/>
          </w:tcPr>
          <w:p w14:paraId="2D29F18F" w14:textId="4252E9C7" w:rsidR="00B40890" w:rsidRPr="00A044E8" w:rsidRDefault="00B40890" w:rsidP="00B40890">
            <w:pPr>
              <w:spacing w:line="276" w:lineRule="auto"/>
              <w:rPr>
                <w:rFonts w:ascii="Calibri" w:eastAsia="Calibri" w:hAnsi="Calibri" w:cs="Calibri"/>
                <w:sz w:val="18"/>
                <w:szCs w:val="18"/>
              </w:rPr>
            </w:pPr>
            <w:r w:rsidRPr="00A044E8">
              <w:rPr>
                <w:rFonts w:eastAsia="Calibri" w:cstheme="minorHAnsi"/>
                <w:sz w:val="18"/>
                <w:szCs w:val="18"/>
              </w:rPr>
              <w:t xml:space="preserve">Cognitive function (42%) </w:t>
            </w:r>
          </w:p>
        </w:tc>
        <w:tc>
          <w:tcPr>
            <w:tcW w:w="1913" w:type="pct"/>
            <w:tcBorders>
              <w:bottom w:val="nil"/>
            </w:tcBorders>
            <w:shd w:val="clear" w:color="auto" w:fill="auto"/>
            <w:vAlign w:val="center"/>
          </w:tcPr>
          <w:p w14:paraId="479DBAD6" w14:textId="3E4220E0" w:rsidR="00B40890" w:rsidRPr="00A044E8" w:rsidRDefault="00B40890" w:rsidP="00B40890">
            <w:pPr>
              <w:spacing w:line="276" w:lineRule="auto"/>
              <w:rPr>
                <w:rFonts w:ascii="Calibri" w:eastAsia="Calibri" w:hAnsi="Calibri" w:cs="Calibri"/>
                <w:sz w:val="18"/>
                <w:szCs w:val="18"/>
              </w:rPr>
            </w:pPr>
            <w:r w:rsidRPr="00A044E8">
              <w:rPr>
                <w:rFonts w:eastAsia="Calibri" w:cstheme="minorHAnsi"/>
                <w:sz w:val="18"/>
                <w:szCs w:val="18"/>
              </w:rPr>
              <w:t>Stroop test (85.7%)</w:t>
            </w:r>
          </w:p>
        </w:tc>
      </w:tr>
      <w:tr w:rsidR="00B40890" w:rsidRPr="00A044E8" w14:paraId="4C254B0A" w14:textId="77777777" w:rsidTr="00337A84">
        <w:trPr>
          <w:trHeight w:val="37"/>
        </w:trPr>
        <w:tc>
          <w:tcPr>
            <w:tcW w:w="1667" w:type="pct"/>
            <w:vMerge/>
            <w:vAlign w:val="center"/>
          </w:tcPr>
          <w:p w14:paraId="2618643C" w14:textId="77777777" w:rsidR="00B40890" w:rsidRPr="00A044E8" w:rsidRDefault="00B40890" w:rsidP="00B40890">
            <w:pPr>
              <w:spacing w:line="276" w:lineRule="auto"/>
              <w:rPr>
                <w:rFonts w:ascii="Calibri" w:eastAsia="Calibri" w:hAnsi="Calibri" w:cs="Calibri"/>
                <w:sz w:val="18"/>
                <w:szCs w:val="18"/>
              </w:rPr>
            </w:pPr>
          </w:p>
        </w:tc>
        <w:tc>
          <w:tcPr>
            <w:tcW w:w="1420" w:type="pct"/>
            <w:vMerge/>
            <w:shd w:val="clear" w:color="auto" w:fill="auto"/>
            <w:vAlign w:val="center"/>
          </w:tcPr>
          <w:p w14:paraId="10CA093F" w14:textId="77777777" w:rsidR="00B40890" w:rsidRPr="00A044E8" w:rsidRDefault="00B40890" w:rsidP="00B40890">
            <w:pPr>
              <w:spacing w:line="276" w:lineRule="auto"/>
              <w:rPr>
                <w:rFonts w:eastAsia="Calibri" w:cstheme="minorHAnsi"/>
                <w:sz w:val="18"/>
                <w:szCs w:val="18"/>
              </w:rPr>
            </w:pPr>
          </w:p>
        </w:tc>
        <w:tc>
          <w:tcPr>
            <w:tcW w:w="1913" w:type="pct"/>
            <w:tcBorders>
              <w:top w:val="nil"/>
            </w:tcBorders>
            <w:shd w:val="clear" w:color="auto" w:fill="C5E0B3" w:themeFill="accent6" w:themeFillTint="66"/>
            <w:vAlign w:val="center"/>
          </w:tcPr>
          <w:p w14:paraId="4762F612" w14:textId="0336F6A5" w:rsidR="00B40890" w:rsidRPr="00A044E8" w:rsidRDefault="00B40890" w:rsidP="00B40890">
            <w:pPr>
              <w:spacing w:line="276" w:lineRule="auto"/>
              <w:rPr>
                <w:rFonts w:eastAsia="Calibri" w:cstheme="minorHAnsi"/>
                <w:sz w:val="18"/>
                <w:szCs w:val="18"/>
              </w:rPr>
            </w:pPr>
            <w:r w:rsidRPr="00A044E8">
              <w:rPr>
                <w:rFonts w:eastAsia="Calibri" w:cstheme="minorHAnsi"/>
                <w:sz w:val="18"/>
                <w:szCs w:val="18"/>
              </w:rPr>
              <w:t>MoCA instead of or in addition to Stroop test.</w:t>
            </w:r>
          </w:p>
          <w:p w14:paraId="31D17940" w14:textId="0E1CC9F8" w:rsidR="00B40890" w:rsidRPr="00A044E8" w:rsidRDefault="00B40890" w:rsidP="00B40890">
            <w:pPr>
              <w:spacing w:line="276" w:lineRule="auto"/>
              <w:rPr>
                <w:rFonts w:eastAsia="Calibri" w:cstheme="minorHAnsi"/>
                <w:sz w:val="18"/>
                <w:szCs w:val="18"/>
              </w:rPr>
            </w:pPr>
            <w:r w:rsidRPr="00A044E8">
              <w:rPr>
                <w:rFonts w:eastAsia="Calibri" w:cstheme="minorHAnsi"/>
                <w:sz w:val="18"/>
                <w:szCs w:val="18"/>
              </w:rPr>
              <w:t>MDS-UPDRS I (relevant subscale)</w:t>
            </w:r>
          </w:p>
        </w:tc>
      </w:tr>
      <w:tr w:rsidR="00B40890" w:rsidRPr="00A044E8" w14:paraId="510CC905" w14:textId="77777777" w:rsidTr="00337A84">
        <w:trPr>
          <w:trHeight w:val="81"/>
        </w:trPr>
        <w:tc>
          <w:tcPr>
            <w:tcW w:w="1667" w:type="pct"/>
            <w:vMerge/>
            <w:vAlign w:val="center"/>
          </w:tcPr>
          <w:p w14:paraId="5F637CCD" w14:textId="77777777" w:rsidR="00B40890" w:rsidRPr="00A044E8" w:rsidRDefault="00B40890" w:rsidP="00B40890">
            <w:pPr>
              <w:spacing w:line="276" w:lineRule="auto"/>
              <w:rPr>
                <w:rFonts w:ascii="Calibri" w:eastAsia="Calibri" w:hAnsi="Calibri" w:cs="Calibri"/>
                <w:sz w:val="18"/>
                <w:szCs w:val="18"/>
              </w:rPr>
            </w:pPr>
          </w:p>
        </w:tc>
        <w:tc>
          <w:tcPr>
            <w:tcW w:w="1420" w:type="pct"/>
            <w:vAlign w:val="center"/>
          </w:tcPr>
          <w:p w14:paraId="709B3C62" w14:textId="368EF9D0" w:rsidR="00B40890" w:rsidRPr="00A044E8" w:rsidRDefault="00B40890" w:rsidP="00B40890">
            <w:pPr>
              <w:spacing w:line="276" w:lineRule="auto"/>
              <w:rPr>
                <w:rFonts w:ascii="Calibri" w:eastAsia="Calibri" w:hAnsi="Calibri" w:cs="Calibri"/>
                <w:sz w:val="18"/>
                <w:szCs w:val="18"/>
              </w:rPr>
            </w:pPr>
            <w:r w:rsidRPr="00A044E8">
              <w:rPr>
                <w:rFonts w:ascii="Calibri" w:eastAsia="Calibri" w:hAnsi="Calibri" w:cs="Calibri"/>
                <w:sz w:val="18"/>
                <w:szCs w:val="18"/>
              </w:rPr>
              <w:t>Motor-related ADL</w:t>
            </w:r>
            <w:r w:rsidR="00D940A2" w:rsidRPr="00A044E8">
              <w:rPr>
                <w:rFonts w:ascii="Calibri" w:eastAsia="Calibri" w:hAnsi="Calibri" w:cs="Calibri"/>
                <w:sz w:val="18"/>
                <w:szCs w:val="18"/>
              </w:rPr>
              <w:t xml:space="preserve">‡ </w:t>
            </w:r>
            <w:r w:rsidRPr="00A044E8">
              <w:rPr>
                <w:rFonts w:ascii="Calibri" w:eastAsia="Calibri" w:hAnsi="Calibri" w:cs="Calibri"/>
                <w:sz w:val="18"/>
                <w:szCs w:val="18"/>
              </w:rPr>
              <w:t>(48%)</w:t>
            </w:r>
            <w:r w:rsidRPr="00A044E8">
              <w:rPr>
                <w:rFonts w:ascii="Calibri" w:eastAsia="Calibri" w:hAnsi="Calibri" w:cs="Calibri"/>
                <w:sz w:val="18"/>
                <w:szCs w:val="18"/>
              </w:rPr>
              <w:tab/>
            </w:r>
          </w:p>
        </w:tc>
        <w:tc>
          <w:tcPr>
            <w:tcW w:w="1913" w:type="pct"/>
            <w:vAlign w:val="center"/>
          </w:tcPr>
          <w:p w14:paraId="06B7B7A4" w14:textId="3BFD7625" w:rsidR="00B40890" w:rsidRPr="00A044E8" w:rsidRDefault="00B40890" w:rsidP="00B40890">
            <w:pPr>
              <w:spacing w:line="276" w:lineRule="auto"/>
              <w:rPr>
                <w:rFonts w:ascii="Calibri" w:eastAsia="Calibri" w:hAnsi="Calibri" w:cs="Calibri"/>
                <w:sz w:val="18"/>
                <w:szCs w:val="18"/>
              </w:rPr>
            </w:pPr>
            <w:r w:rsidRPr="00A044E8">
              <w:rPr>
                <w:rFonts w:ascii="Calibri" w:eastAsia="Calibri" w:hAnsi="Calibri" w:cs="Calibri"/>
                <w:sz w:val="18"/>
                <w:szCs w:val="18"/>
              </w:rPr>
              <w:t>UPDRS II or MDS-UPDRS II (47.5%)</w:t>
            </w:r>
          </w:p>
        </w:tc>
      </w:tr>
      <w:tr w:rsidR="00B40890" w:rsidRPr="00A044E8" w14:paraId="723FCA3E" w14:textId="77777777" w:rsidTr="00337A84">
        <w:trPr>
          <w:trHeight w:val="63"/>
        </w:trPr>
        <w:tc>
          <w:tcPr>
            <w:tcW w:w="1667" w:type="pct"/>
            <w:vMerge/>
            <w:vAlign w:val="center"/>
          </w:tcPr>
          <w:p w14:paraId="03949741" w14:textId="77777777" w:rsidR="00B40890" w:rsidRPr="00A044E8" w:rsidRDefault="00B40890" w:rsidP="00B40890">
            <w:pPr>
              <w:spacing w:line="276" w:lineRule="auto"/>
              <w:rPr>
                <w:rFonts w:ascii="Calibri" w:eastAsia="Calibri" w:hAnsi="Calibri" w:cs="Calibri"/>
                <w:sz w:val="18"/>
                <w:szCs w:val="18"/>
              </w:rPr>
            </w:pPr>
          </w:p>
        </w:tc>
        <w:tc>
          <w:tcPr>
            <w:tcW w:w="1420" w:type="pct"/>
            <w:shd w:val="clear" w:color="auto" w:fill="C5E0B3" w:themeFill="accent6" w:themeFillTint="66"/>
            <w:vAlign w:val="center"/>
          </w:tcPr>
          <w:p w14:paraId="4F85898C" w14:textId="5E2AF313" w:rsidR="00B40890" w:rsidRPr="00A044E8" w:rsidRDefault="00F455FC" w:rsidP="00B40890">
            <w:pPr>
              <w:spacing w:line="276" w:lineRule="auto"/>
              <w:rPr>
                <w:rFonts w:ascii="Calibri" w:eastAsia="Calibri" w:hAnsi="Calibri" w:cs="Calibri"/>
                <w:sz w:val="18"/>
                <w:szCs w:val="18"/>
              </w:rPr>
            </w:pPr>
            <w:r w:rsidRPr="00A044E8">
              <w:rPr>
                <w:rFonts w:ascii="Calibri" w:eastAsia="Calibri" w:hAnsi="Calibri" w:cs="Calibri"/>
                <w:sz w:val="18"/>
                <w:szCs w:val="18"/>
              </w:rPr>
              <w:t>Global change in n</w:t>
            </w:r>
            <w:r w:rsidR="00B40890" w:rsidRPr="00A044E8">
              <w:rPr>
                <w:rFonts w:ascii="Calibri" w:eastAsia="Calibri" w:hAnsi="Calibri" w:cs="Calibri"/>
                <w:sz w:val="18"/>
                <w:szCs w:val="18"/>
              </w:rPr>
              <w:t>onmotor symptoms</w:t>
            </w:r>
            <w:r w:rsidR="00CF73AD" w:rsidRPr="00A044E8">
              <w:rPr>
                <w:rFonts w:ascii="Calibri" w:eastAsia="Calibri" w:hAnsi="Calibri" w:cs="Calibri"/>
                <w:sz w:val="18"/>
                <w:szCs w:val="18"/>
              </w:rPr>
              <w:t xml:space="preserve"> (16%)</w:t>
            </w:r>
            <w:r w:rsidR="00B40890" w:rsidRPr="00A044E8">
              <w:rPr>
                <w:rFonts w:ascii="Calibri" w:eastAsia="Calibri" w:hAnsi="Calibri" w:cs="Calibri"/>
                <w:sz w:val="18"/>
                <w:szCs w:val="18"/>
              </w:rPr>
              <w:t xml:space="preserve"> </w:t>
            </w:r>
          </w:p>
        </w:tc>
        <w:tc>
          <w:tcPr>
            <w:tcW w:w="1913" w:type="pct"/>
            <w:shd w:val="clear" w:color="auto" w:fill="C5E0B3" w:themeFill="accent6" w:themeFillTint="66"/>
            <w:vAlign w:val="center"/>
          </w:tcPr>
          <w:p w14:paraId="767B462B" w14:textId="4A59AA8D" w:rsidR="00B40890" w:rsidRPr="00A044E8" w:rsidRDefault="00B40890" w:rsidP="00B40890">
            <w:pPr>
              <w:spacing w:line="276" w:lineRule="auto"/>
              <w:rPr>
                <w:rFonts w:ascii="Calibri" w:eastAsia="Calibri" w:hAnsi="Calibri" w:cs="Calibri"/>
                <w:sz w:val="18"/>
                <w:szCs w:val="18"/>
              </w:rPr>
            </w:pPr>
            <w:r w:rsidRPr="00A044E8">
              <w:rPr>
                <w:rFonts w:ascii="Calibri" w:eastAsia="Calibri" w:hAnsi="Calibri" w:cs="Calibri"/>
                <w:sz w:val="18"/>
                <w:szCs w:val="18"/>
              </w:rPr>
              <w:t>MDS-UPDRS-II, MDS-NMSS</w:t>
            </w:r>
          </w:p>
        </w:tc>
      </w:tr>
      <w:tr w:rsidR="00B40890" w:rsidRPr="00A044E8" w14:paraId="0F71BA77" w14:textId="77777777" w:rsidTr="00337A84">
        <w:trPr>
          <w:trHeight w:val="314"/>
        </w:trPr>
        <w:tc>
          <w:tcPr>
            <w:tcW w:w="1667" w:type="pct"/>
            <w:vMerge/>
            <w:vAlign w:val="center"/>
          </w:tcPr>
          <w:p w14:paraId="107D6A1B" w14:textId="77777777" w:rsidR="00B40890" w:rsidRPr="00A044E8" w:rsidRDefault="00B40890" w:rsidP="00B40890">
            <w:pPr>
              <w:spacing w:line="276" w:lineRule="auto"/>
              <w:rPr>
                <w:rFonts w:ascii="Calibri" w:eastAsia="Calibri" w:hAnsi="Calibri" w:cs="Calibri"/>
                <w:sz w:val="18"/>
                <w:szCs w:val="18"/>
              </w:rPr>
            </w:pPr>
          </w:p>
        </w:tc>
        <w:tc>
          <w:tcPr>
            <w:tcW w:w="1420" w:type="pct"/>
            <w:shd w:val="clear" w:color="auto" w:fill="C5E0B3" w:themeFill="accent6" w:themeFillTint="66"/>
            <w:vAlign w:val="center"/>
          </w:tcPr>
          <w:p w14:paraId="2C2972A3" w14:textId="39316B42" w:rsidR="00B40890" w:rsidRPr="00A044E8" w:rsidRDefault="00B40890" w:rsidP="00B40890">
            <w:pPr>
              <w:spacing w:line="276" w:lineRule="auto"/>
              <w:rPr>
                <w:rFonts w:ascii="Calibri" w:eastAsia="Calibri" w:hAnsi="Calibri" w:cs="Calibri"/>
                <w:sz w:val="18"/>
                <w:szCs w:val="18"/>
              </w:rPr>
            </w:pPr>
            <w:r w:rsidRPr="00A044E8">
              <w:rPr>
                <w:rFonts w:ascii="Calibri" w:eastAsia="Calibri" w:hAnsi="Calibri" w:cs="Calibri"/>
                <w:sz w:val="18"/>
                <w:szCs w:val="18"/>
              </w:rPr>
              <w:t>Speech function and swallowing</w:t>
            </w:r>
          </w:p>
        </w:tc>
        <w:tc>
          <w:tcPr>
            <w:tcW w:w="1913" w:type="pct"/>
            <w:shd w:val="clear" w:color="auto" w:fill="C5E0B3" w:themeFill="accent6" w:themeFillTint="66"/>
            <w:vAlign w:val="center"/>
          </w:tcPr>
          <w:p w14:paraId="365C5691" w14:textId="2168BE4F" w:rsidR="00B40890" w:rsidRPr="00A044E8" w:rsidRDefault="00B40890" w:rsidP="00B40890">
            <w:pPr>
              <w:spacing w:line="276" w:lineRule="auto"/>
              <w:rPr>
                <w:rFonts w:ascii="Calibri" w:eastAsia="Calibri" w:hAnsi="Calibri" w:cs="Calibri"/>
                <w:sz w:val="18"/>
                <w:szCs w:val="18"/>
              </w:rPr>
            </w:pPr>
            <w:r w:rsidRPr="00A044E8">
              <w:rPr>
                <w:rFonts w:ascii="Calibri" w:eastAsia="Calibri" w:hAnsi="Calibri" w:cs="Calibri"/>
                <w:sz w:val="18"/>
                <w:szCs w:val="18"/>
              </w:rPr>
              <w:t>Relevant items from  MDS-UPDRS II and MDS-NMS, Speech Intelligibility Test</w:t>
            </w:r>
          </w:p>
        </w:tc>
      </w:tr>
      <w:tr w:rsidR="00B40890" w:rsidRPr="00A044E8" w14:paraId="1239243B" w14:textId="77777777" w:rsidTr="00337A84">
        <w:trPr>
          <w:trHeight w:val="515"/>
        </w:trPr>
        <w:tc>
          <w:tcPr>
            <w:tcW w:w="1667" w:type="pct"/>
            <w:vMerge w:val="restart"/>
            <w:vAlign w:val="center"/>
          </w:tcPr>
          <w:p w14:paraId="699F204F" w14:textId="77777777" w:rsidR="00B40890" w:rsidRPr="00A044E8" w:rsidRDefault="00B40890" w:rsidP="00B40890">
            <w:pPr>
              <w:spacing w:line="276" w:lineRule="auto"/>
              <w:rPr>
                <w:rFonts w:ascii="Calibri" w:eastAsia="Calibri" w:hAnsi="Calibri" w:cs="Calibri"/>
                <w:sz w:val="18"/>
                <w:szCs w:val="18"/>
              </w:rPr>
            </w:pPr>
            <w:r w:rsidRPr="00A044E8">
              <w:rPr>
                <w:rFonts w:ascii="Calibri" w:eastAsia="Calibri" w:hAnsi="Calibri" w:cs="Calibri"/>
                <w:b/>
                <w:bCs/>
                <w:color w:val="000000"/>
                <w:sz w:val="18"/>
                <w:szCs w:val="18"/>
              </w:rPr>
              <w:t>Patient-Reported Outcomes</w:t>
            </w:r>
          </w:p>
        </w:tc>
        <w:tc>
          <w:tcPr>
            <w:tcW w:w="1420" w:type="pct"/>
            <w:vAlign w:val="center"/>
          </w:tcPr>
          <w:p w14:paraId="18A75556" w14:textId="77777777" w:rsidR="00B40890" w:rsidRPr="00A044E8" w:rsidRDefault="00B40890" w:rsidP="00B40890">
            <w:pPr>
              <w:spacing w:line="276" w:lineRule="auto"/>
              <w:rPr>
                <w:rFonts w:ascii="Calibri" w:eastAsia="Calibri" w:hAnsi="Calibri" w:cs="Calibri"/>
                <w:sz w:val="18"/>
                <w:szCs w:val="18"/>
              </w:rPr>
            </w:pPr>
            <w:r w:rsidRPr="00A044E8">
              <w:rPr>
                <w:rFonts w:ascii="Calibri" w:eastAsia="Calibri" w:hAnsi="Calibri" w:cs="Calibri"/>
                <w:sz w:val="18"/>
                <w:szCs w:val="18"/>
              </w:rPr>
              <w:t>PD-related QoL (53%)</w:t>
            </w:r>
          </w:p>
        </w:tc>
        <w:tc>
          <w:tcPr>
            <w:tcW w:w="1913" w:type="pct"/>
            <w:vAlign w:val="center"/>
          </w:tcPr>
          <w:p w14:paraId="66818787" w14:textId="77777777" w:rsidR="00B40890" w:rsidRPr="00A044E8" w:rsidRDefault="00B40890" w:rsidP="00B40890">
            <w:pPr>
              <w:spacing w:line="276" w:lineRule="auto"/>
              <w:rPr>
                <w:rFonts w:ascii="Calibri" w:eastAsia="Calibri" w:hAnsi="Calibri" w:cs="Calibri"/>
                <w:sz w:val="18"/>
                <w:szCs w:val="18"/>
              </w:rPr>
            </w:pPr>
            <w:r w:rsidRPr="00A044E8">
              <w:rPr>
                <w:rFonts w:ascii="Calibri" w:eastAsia="Calibri" w:hAnsi="Calibri" w:cs="Calibri"/>
                <w:sz w:val="18"/>
                <w:szCs w:val="18"/>
              </w:rPr>
              <w:t>PDQ-39 (43.6%)</w:t>
            </w:r>
          </w:p>
        </w:tc>
      </w:tr>
      <w:tr w:rsidR="00B40890" w:rsidRPr="00A044E8" w14:paraId="5D4E4669" w14:textId="307A5AAE" w:rsidTr="00337A84">
        <w:trPr>
          <w:trHeight w:val="647"/>
        </w:trPr>
        <w:tc>
          <w:tcPr>
            <w:tcW w:w="1667" w:type="pct"/>
            <w:vMerge/>
            <w:vAlign w:val="center"/>
          </w:tcPr>
          <w:p w14:paraId="14BBA2CB" w14:textId="77777777" w:rsidR="00B40890" w:rsidRPr="00A044E8" w:rsidRDefault="00B40890" w:rsidP="00B40890">
            <w:pPr>
              <w:spacing w:line="276" w:lineRule="auto"/>
              <w:rPr>
                <w:rFonts w:ascii="Calibri" w:eastAsia="Calibri" w:hAnsi="Calibri" w:cs="Calibri"/>
                <w:sz w:val="18"/>
                <w:szCs w:val="18"/>
              </w:rPr>
            </w:pPr>
          </w:p>
        </w:tc>
        <w:tc>
          <w:tcPr>
            <w:tcW w:w="1420" w:type="pct"/>
            <w:tcBorders>
              <w:bottom w:val="single" w:sz="4" w:space="0" w:color="000000"/>
            </w:tcBorders>
            <w:shd w:val="clear" w:color="auto" w:fill="C5E0B3" w:themeFill="accent6" w:themeFillTint="66"/>
            <w:vAlign w:val="center"/>
          </w:tcPr>
          <w:p w14:paraId="7D610A9A" w14:textId="1B3EBCAB" w:rsidR="00B40890" w:rsidRPr="00A044E8" w:rsidRDefault="00B40890" w:rsidP="00B40890">
            <w:pPr>
              <w:spacing w:line="276" w:lineRule="auto"/>
              <w:rPr>
                <w:rFonts w:ascii="Calibri" w:eastAsia="Calibri" w:hAnsi="Calibri" w:cs="Calibri"/>
                <w:sz w:val="18"/>
                <w:szCs w:val="18"/>
              </w:rPr>
            </w:pPr>
            <w:r w:rsidRPr="00A044E8">
              <w:rPr>
                <w:rFonts w:ascii="Calibri" w:eastAsia="Calibri" w:hAnsi="Calibri" w:cs="Calibri"/>
                <w:sz w:val="18"/>
                <w:szCs w:val="18"/>
              </w:rPr>
              <w:t>Sleep quality (10%)</w:t>
            </w:r>
          </w:p>
        </w:tc>
        <w:tc>
          <w:tcPr>
            <w:tcW w:w="1913" w:type="pct"/>
            <w:tcBorders>
              <w:bottom w:val="single" w:sz="4" w:space="0" w:color="000000"/>
            </w:tcBorders>
            <w:shd w:val="clear" w:color="auto" w:fill="C5E0B3" w:themeFill="accent6" w:themeFillTint="66"/>
            <w:vAlign w:val="center"/>
          </w:tcPr>
          <w:p w14:paraId="0EE0B361" w14:textId="30A527B0" w:rsidR="00B40890" w:rsidRPr="00A044E8" w:rsidRDefault="00B40890" w:rsidP="00B40890">
            <w:pPr>
              <w:spacing w:line="276" w:lineRule="auto"/>
              <w:rPr>
                <w:rFonts w:ascii="Calibri" w:eastAsia="Calibri" w:hAnsi="Calibri" w:cs="Calibri"/>
                <w:sz w:val="18"/>
                <w:szCs w:val="18"/>
              </w:rPr>
            </w:pPr>
            <w:r w:rsidRPr="00A044E8">
              <w:rPr>
                <w:rFonts w:ascii="Calibri" w:eastAsia="Calibri" w:hAnsi="Calibri" w:cs="Calibri"/>
                <w:sz w:val="18"/>
                <w:szCs w:val="18"/>
              </w:rPr>
              <w:t xml:space="preserve">PDSS-2, relevant items from MDS-UPDRS I </w:t>
            </w:r>
          </w:p>
        </w:tc>
      </w:tr>
      <w:tr w:rsidR="00337A84" w:rsidRPr="00A044E8" w14:paraId="68B6F375" w14:textId="77777777" w:rsidTr="00337A84">
        <w:tc>
          <w:tcPr>
            <w:tcW w:w="1667" w:type="pct"/>
            <w:vMerge w:val="restart"/>
            <w:shd w:val="clear" w:color="auto" w:fill="C5E0B3" w:themeFill="accent6" w:themeFillTint="66"/>
            <w:vAlign w:val="center"/>
          </w:tcPr>
          <w:p w14:paraId="034C4E49" w14:textId="2A20FB7C" w:rsidR="00337A84" w:rsidRPr="00A044E8" w:rsidRDefault="00337A84" w:rsidP="00B40890">
            <w:pPr>
              <w:spacing w:line="276" w:lineRule="auto"/>
              <w:rPr>
                <w:rFonts w:ascii="Calibri" w:eastAsia="Calibri" w:hAnsi="Calibri" w:cs="Calibri"/>
                <w:b/>
                <w:bCs/>
                <w:sz w:val="18"/>
                <w:szCs w:val="18"/>
              </w:rPr>
            </w:pPr>
            <w:r w:rsidRPr="00A044E8">
              <w:rPr>
                <w:rFonts w:ascii="Calibri" w:eastAsia="Calibri" w:hAnsi="Calibri" w:cs="Calibri"/>
                <w:b/>
                <w:bCs/>
                <w:sz w:val="18"/>
                <w:szCs w:val="18"/>
              </w:rPr>
              <w:t xml:space="preserve">Device-Related Safety </w:t>
            </w:r>
            <w:r w:rsidRPr="00A044E8">
              <w:rPr>
                <w:rFonts w:ascii="Calibri" w:eastAsia="Calibri" w:hAnsi="Calibri" w:cs="Calibri"/>
                <w:sz w:val="18"/>
                <w:szCs w:val="18"/>
              </w:rPr>
              <w:t>(not addressed in the CER)</w:t>
            </w:r>
          </w:p>
        </w:tc>
        <w:tc>
          <w:tcPr>
            <w:tcW w:w="1420" w:type="pct"/>
            <w:tcBorders>
              <w:bottom w:val="nil"/>
              <w:right w:val="nil"/>
            </w:tcBorders>
            <w:shd w:val="clear" w:color="auto" w:fill="C5E0B3" w:themeFill="accent6" w:themeFillTint="66"/>
          </w:tcPr>
          <w:p w14:paraId="4EBEC79C" w14:textId="257490E9" w:rsidR="00337A84" w:rsidRPr="00A044E8" w:rsidRDefault="00337A84" w:rsidP="00B72A40">
            <w:pPr>
              <w:spacing w:line="276" w:lineRule="auto"/>
              <w:rPr>
                <w:rFonts w:ascii="Calibri" w:eastAsia="Calibri" w:hAnsi="Calibri" w:cs="Calibri"/>
                <w:sz w:val="18"/>
                <w:szCs w:val="18"/>
                <w:u w:val="single"/>
              </w:rPr>
            </w:pPr>
            <w:r w:rsidRPr="00A044E8">
              <w:rPr>
                <w:rFonts w:ascii="Calibri" w:eastAsia="Calibri" w:hAnsi="Calibri" w:cs="Calibri"/>
                <w:sz w:val="18"/>
                <w:szCs w:val="18"/>
                <w:u w:val="single"/>
              </w:rPr>
              <w:t>More serious</w:t>
            </w:r>
          </w:p>
          <w:p w14:paraId="74C7B5D7" w14:textId="38FB0D33" w:rsidR="00337A84" w:rsidRPr="00A044E8" w:rsidRDefault="00337A84" w:rsidP="00B72A40">
            <w:pPr>
              <w:pStyle w:val="ListParagraph"/>
              <w:numPr>
                <w:ilvl w:val="0"/>
                <w:numId w:val="17"/>
              </w:numPr>
              <w:spacing w:line="276" w:lineRule="auto"/>
              <w:ind w:left="288" w:hanging="144"/>
              <w:rPr>
                <w:rFonts w:ascii="Calibri" w:eastAsia="Calibri" w:hAnsi="Calibri" w:cs="Calibri"/>
                <w:sz w:val="18"/>
                <w:szCs w:val="18"/>
              </w:rPr>
            </w:pPr>
            <w:r w:rsidRPr="00A044E8">
              <w:rPr>
                <w:rFonts w:ascii="Calibri" w:eastAsia="Calibri" w:hAnsi="Calibri" w:cs="Calibri"/>
                <w:sz w:val="18"/>
                <w:szCs w:val="18"/>
              </w:rPr>
              <w:t>Worsening gait/balance due to ataxia (DBS)</w:t>
            </w:r>
          </w:p>
          <w:p w14:paraId="4C43D4C1" w14:textId="5FA03332" w:rsidR="00337A84" w:rsidRPr="00A044E8" w:rsidRDefault="00337A84" w:rsidP="00B72A40">
            <w:pPr>
              <w:pStyle w:val="ListParagraph"/>
              <w:numPr>
                <w:ilvl w:val="0"/>
                <w:numId w:val="17"/>
              </w:numPr>
              <w:spacing w:line="276" w:lineRule="auto"/>
              <w:ind w:left="288" w:hanging="144"/>
              <w:rPr>
                <w:rFonts w:ascii="Calibri" w:eastAsia="Calibri" w:hAnsi="Calibri" w:cs="Calibri"/>
                <w:sz w:val="18"/>
                <w:szCs w:val="18"/>
              </w:rPr>
            </w:pPr>
            <w:r w:rsidRPr="00A044E8">
              <w:rPr>
                <w:rFonts w:ascii="Calibri" w:eastAsia="Calibri" w:hAnsi="Calibri" w:cs="Calibri"/>
                <w:sz w:val="18"/>
                <w:szCs w:val="18"/>
              </w:rPr>
              <w:t xml:space="preserve">Speech/swallowing difficulties (DBS, </w:t>
            </w:r>
            <w:proofErr w:type="spellStart"/>
            <w:r w:rsidRPr="00A044E8">
              <w:rPr>
                <w:rFonts w:ascii="Calibri" w:eastAsia="Calibri" w:hAnsi="Calibri" w:cs="Calibri"/>
                <w:sz w:val="18"/>
                <w:szCs w:val="18"/>
              </w:rPr>
              <w:t>MRgFUS</w:t>
            </w:r>
            <w:proofErr w:type="spellEnd"/>
            <w:r w:rsidRPr="00A044E8">
              <w:rPr>
                <w:rFonts w:ascii="Calibri" w:eastAsia="Calibri" w:hAnsi="Calibri" w:cs="Calibri"/>
                <w:sz w:val="18"/>
                <w:szCs w:val="18"/>
              </w:rPr>
              <w:t xml:space="preserve">, </w:t>
            </w:r>
            <w:proofErr w:type="spellStart"/>
            <w:r w:rsidRPr="00A044E8">
              <w:rPr>
                <w:rFonts w:ascii="Calibri" w:eastAsia="Calibri" w:hAnsi="Calibri" w:cs="Calibri"/>
                <w:sz w:val="18"/>
                <w:szCs w:val="18"/>
              </w:rPr>
              <w:t>subthalamotomy</w:t>
            </w:r>
            <w:proofErr w:type="spellEnd"/>
            <w:r w:rsidRPr="00A044E8">
              <w:rPr>
                <w:rFonts w:ascii="Calibri" w:eastAsia="Calibri" w:hAnsi="Calibri" w:cs="Calibri"/>
                <w:sz w:val="18"/>
                <w:szCs w:val="18"/>
              </w:rPr>
              <w:t>)</w:t>
            </w:r>
          </w:p>
          <w:p w14:paraId="62322585" w14:textId="602C014C" w:rsidR="00337A84" w:rsidRPr="00A044E8" w:rsidRDefault="00337A84" w:rsidP="00B72A40">
            <w:pPr>
              <w:pStyle w:val="ListParagraph"/>
              <w:numPr>
                <w:ilvl w:val="0"/>
                <w:numId w:val="17"/>
              </w:numPr>
              <w:spacing w:line="276" w:lineRule="auto"/>
              <w:ind w:left="288" w:hanging="144"/>
              <w:rPr>
                <w:rFonts w:ascii="Calibri" w:eastAsia="Calibri" w:hAnsi="Calibri" w:cs="Calibri"/>
                <w:sz w:val="18"/>
                <w:szCs w:val="18"/>
              </w:rPr>
            </w:pPr>
            <w:r w:rsidRPr="00A044E8">
              <w:rPr>
                <w:rFonts w:ascii="Calibri" w:eastAsia="Calibri" w:hAnsi="Calibri" w:cs="Calibri"/>
                <w:sz w:val="18"/>
                <w:szCs w:val="18"/>
              </w:rPr>
              <w:t xml:space="preserve">Worsening cognition (DBS, </w:t>
            </w:r>
            <w:proofErr w:type="spellStart"/>
            <w:r w:rsidRPr="00A044E8">
              <w:rPr>
                <w:rFonts w:ascii="Calibri" w:eastAsia="Calibri" w:hAnsi="Calibri" w:cs="Calibri"/>
                <w:sz w:val="18"/>
                <w:szCs w:val="18"/>
              </w:rPr>
              <w:t>MRgFUS</w:t>
            </w:r>
            <w:proofErr w:type="spellEnd"/>
            <w:r w:rsidRPr="00A044E8">
              <w:rPr>
                <w:rFonts w:ascii="Calibri" w:eastAsia="Calibri" w:hAnsi="Calibri" w:cs="Calibri"/>
                <w:sz w:val="18"/>
                <w:szCs w:val="18"/>
              </w:rPr>
              <w:t xml:space="preserve">, </w:t>
            </w:r>
            <w:proofErr w:type="spellStart"/>
            <w:r w:rsidRPr="00A044E8">
              <w:rPr>
                <w:rFonts w:ascii="Calibri" w:eastAsia="Calibri" w:hAnsi="Calibri" w:cs="Calibri"/>
                <w:sz w:val="18"/>
                <w:szCs w:val="18"/>
              </w:rPr>
              <w:t>subthalamotomy</w:t>
            </w:r>
            <w:proofErr w:type="spellEnd"/>
            <w:r w:rsidRPr="00A044E8">
              <w:rPr>
                <w:rFonts w:ascii="Calibri" w:eastAsia="Calibri" w:hAnsi="Calibri" w:cs="Calibri"/>
                <w:sz w:val="18"/>
                <w:szCs w:val="18"/>
              </w:rPr>
              <w:t xml:space="preserve">) </w:t>
            </w:r>
          </w:p>
        </w:tc>
        <w:tc>
          <w:tcPr>
            <w:tcW w:w="1913" w:type="pct"/>
            <w:tcBorders>
              <w:left w:val="nil"/>
              <w:bottom w:val="nil"/>
            </w:tcBorders>
            <w:shd w:val="clear" w:color="auto" w:fill="C5E0B3" w:themeFill="accent6" w:themeFillTint="66"/>
          </w:tcPr>
          <w:p w14:paraId="0389B369" w14:textId="4DC7B6F8" w:rsidR="00337A84" w:rsidRPr="00A044E8" w:rsidRDefault="00337A84" w:rsidP="00C61D3E">
            <w:pPr>
              <w:pStyle w:val="ListParagraph"/>
              <w:numPr>
                <w:ilvl w:val="0"/>
                <w:numId w:val="17"/>
              </w:numPr>
              <w:spacing w:line="276" w:lineRule="auto"/>
              <w:ind w:left="288" w:hanging="144"/>
              <w:rPr>
                <w:rFonts w:ascii="Calibri" w:eastAsia="Calibri" w:hAnsi="Calibri" w:cs="Calibri"/>
                <w:sz w:val="18"/>
                <w:szCs w:val="18"/>
              </w:rPr>
            </w:pPr>
            <w:r w:rsidRPr="00A044E8">
              <w:rPr>
                <w:rFonts w:ascii="Calibri" w:eastAsia="Calibri" w:hAnsi="Calibri" w:cs="Calibri"/>
                <w:sz w:val="18"/>
                <w:szCs w:val="18"/>
              </w:rPr>
              <w:t xml:space="preserve">Mood changes, including suicidality (DBS, </w:t>
            </w:r>
            <w:proofErr w:type="spellStart"/>
            <w:r w:rsidRPr="00A044E8">
              <w:rPr>
                <w:rFonts w:ascii="Calibri" w:eastAsia="Calibri" w:hAnsi="Calibri" w:cs="Calibri"/>
                <w:sz w:val="18"/>
                <w:szCs w:val="18"/>
              </w:rPr>
              <w:t>MRgFUS</w:t>
            </w:r>
            <w:proofErr w:type="spellEnd"/>
            <w:r w:rsidRPr="00A044E8">
              <w:rPr>
                <w:rFonts w:ascii="Calibri" w:eastAsia="Calibri" w:hAnsi="Calibri" w:cs="Calibri"/>
                <w:sz w:val="18"/>
                <w:szCs w:val="18"/>
              </w:rPr>
              <w:t xml:space="preserve">, </w:t>
            </w:r>
            <w:proofErr w:type="spellStart"/>
            <w:r w:rsidRPr="00A044E8">
              <w:rPr>
                <w:rFonts w:ascii="Calibri" w:eastAsia="Calibri" w:hAnsi="Calibri" w:cs="Calibri"/>
                <w:sz w:val="18"/>
                <w:szCs w:val="18"/>
              </w:rPr>
              <w:t>subthalamotomy</w:t>
            </w:r>
            <w:proofErr w:type="spellEnd"/>
            <w:r w:rsidRPr="00A044E8">
              <w:rPr>
                <w:rFonts w:ascii="Calibri" w:eastAsia="Calibri" w:hAnsi="Calibri" w:cs="Calibri"/>
                <w:sz w:val="18"/>
                <w:szCs w:val="18"/>
              </w:rPr>
              <w:t xml:space="preserve">) </w:t>
            </w:r>
          </w:p>
          <w:p w14:paraId="15E85A31" w14:textId="77777777" w:rsidR="00337A84" w:rsidRPr="00A044E8" w:rsidRDefault="00337A84" w:rsidP="00C61D3E">
            <w:pPr>
              <w:pStyle w:val="ListParagraph"/>
              <w:numPr>
                <w:ilvl w:val="0"/>
                <w:numId w:val="17"/>
              </w:numPr>
              <w:spacing w:line="276" w:lineRule="auto"/>
              <w:ind w:left="288" w:hanging="144"/>
              <w:rPr>
                <w:rFonts w:ascii="Calibri" w:eastAsia="Calibri" w:hAnsi="Calibri" w:cs="Calibri"/>
                <w:sz w:val="18"/>
                <w:szCs w:val="18"/>
              </w:rPr>
            </w:pPr>
            <w:r w:rsidRPr="00A044E8">
              <w:rPr>
                <w:rFonts w:ascii="Calibri" w:eastAsia="Calibri" w:hAnsi="Calibri" w:cs="Calibri"/>
                <w:sz w:val="18"/>
                <w:szCs w:val="18"/>
              </w:rPr>
              <w:t>Hemorrhage or infection (DBS)</w:t>
            </w:r>
          </w:p>
          <w:p w14:paraId="276EA382" w14:textId="77777777" w:rsidR="00337A84" w:rsidRPr="00A044E8" w:rsidRDefault="00337A84" w:rsidP="00C61D3E">
            <w:pPr>
              <w:pStyle w:val="ListParagraph"/>
              <w:numPr>
                <w:ilvl w:val="0"/>
                <w:numId w:val="17"/>
              </w:numPr>
              <w:spacing w:line="276" w:lineRule="auto"/>
              <w:ind w:left="288" w:hanging="144"/>
              <w:rPr>
                <w:rFonts w:ascii="Calibri" w:eastAsia="Calibri" w:hAnsi="Calibri" w:cs="Calibri"/>
                <w:sz w:val="18"/>
                <w:szCs w:val="18"/>
              </w:rPr>
            </w:pPr>
            <w:r w:rsidRPr="00A044E8">
              <w:rPr>
                <w:rFonts w:ascii="Calibri" w:eastAsia="Calibri" w:hAnsi="Calibri" w:cs="Calibri"/>
                <w:sz w:val="18"/>
                <w:szCs w:val="18"/>
              </w:rPr>
              <w:t xml:space="preserve">Need for additional surgery (DBS) </w:t>
            </w:r>
          </w:p>
          <w:p w14:paraId="5071AC7D" w14:textId="33F3136C" w:rsidR="00337A84" w:rsidRPr="00A044E8" w:rsidRDefault="00337A84" w:rsidP="00C61D3E">
            <w:pPr>
              <w:spacing w:line="276" w:lineRule="auto"/>
              <w:ind w:left="144"/>
              <w:rPr>
                <w:rFonts w:ascii="Calibri" w:eastAsia="Calibri" w:hAnsi="Calibri" w:cs="Calibri"/>
                <w:sz w:val="18"/>
                <w:szCs w:val="18"/>
              </w:rPr>
            </w:pPr>
            <w:r w:rsidRPr="00A044E8">
              <w:rPr>
                <w:rFonts w:ascii="Calibri" w:eastAsia="Calibri" w:hAnsi="Calibri" w:cs="Calibri"/>
                <w:sz w:val="18"/>
                <w:szCs w:val="18"/>
                <w:u w:val="single"/>
              </w:rPr>
              <w:t>Less serious</w:t>
            </w:r>
            <w:r w:rsidRPr="00A044E8">
              <w:rPr>
                <w:rFonts w:ascii="Calibri" w:eastAsia="Calibri" w:hAnsi="Calibri" w:cs="Calibri"/>
                <w:sz w:val="18"/>
                <w:szCs w:val="18"/>
              </w:rPr>
              <w:t xml:space="preserve"> </w:t>
            </w:r>
          </w:p>
          <w:p w14:paraId="17DF3312" w14:textId="0DD8C7B2" w:rsidR="00337A84" w:rsidRPr="00A044E8" w:rsidRDefault="00337A84" w:rsidP="00C61D3E">
            <w:pPr>
              <w:spacing w:line="276" w:lineRule="auto"/>
              <w:ind w:left="144"/>
              <w:rPr>
                <w:rFonts w:ascii="Calibri" w:eastAsia="Calibri" w:hAnsi="Calibri" w:cs="Calibri"/>
                <w:sz w:val="18"/>
                <w:szCs w:val="18"/>
              </w:rPr>
            </w:pPr>
            <w:r w:rsidRPr="00A044E8">
              <w:rPr>
                <w:rFonts w:ascii="Calibri" w:eastAsia="Calibri" w:hAnsi="Calibri" w:cs="Calibri"/>
                <w:sz w:val="18"/>
                <w:szCs w:val="18"/>
              </w:rPr>
              <w:t>Skin issues or discomfort from wrist devices and other non-invasive wearables for tremor)</w:t>
            </w:r>
          </w:p>
        </w:tc>
      </w:tr>
      <w:tr w:rsidR="00337A84" w:rsidRPr="00A044E8" w14:paraId="43B1B249" w14:textId="77777777" w:rsidTr="00337A84">
        <w:tc>
          <w:tcPr>
            <w:tcW w:w="1667" w:type="pct"/>
            <w:vMerge/>
            <w:shd w:val="clear" w:color="auto" w:fill="C5E0B3" w:themeFill="accent6" w:themeFillTint="66"/>
            <w:vAlign w:val="center"/>
          </w:tcPr>
          <w:p w14:paraId="72D2A37E" w14:textId="77777777" w:rsidR="00337A84" w:rsidRPr="00A044E8" w:rsidRDefault="00337A84" w:rsidP="00B40890">
            <w:pPr>
              <w:spacing w:line="276" w:lineRule="auto"/>
              <w:rPr>
                <w:rFonts w:ascii="Calibri" w:eastAsia="Calibri" w:hAnsi="Calibri" w:cs="Calibri"/>
                <w:b/>
                <w:bCs/>
                <w:sz w:val="18"/>
                <w:szCs w:val="18"/>
              </w:rPr>
            </w:pPr>
          </w:p>
        </w:tc>
        <w:tc>
          <w:tcPr>
            <w:tcW w:w="3333" w:type="pct"/>
            <w:gridSpan w:val="2"/>
            <w:tcBorders>
              <w:top w:val="nil"/>
              <w:bottom w:val="single" w:sz="4" w:space="0" w:color="auto"/>
            </w:tcBorders>
            <w:shd w:val="clear" w:color="auto" w:fill="C5E0B3" w:themeFill="accent6" w:themeFillTint="66"/>
          </w:tcPr>
          <w:p w14:paraId="78CBF638" w14:textId="24789E05" w:rsidR="00337A84" w:rsidRPr="00A044E8" w:rsidRDefault="00337A84" w:rsidP="004F1B11">
            <w:pPr>
              <w:spacing w:line="276" w:lineRule="auto"/>
              <w:rPr>
                <w:rFonts w:ascii="Calibri" w:eastAsia="Calibri" w:hAnsi="Calibri" w:cs="Calibri"/>
                <w:i/>
                <w:iCs/>
                <w:sz w:val="18"/>
                <w:szCs w:val="18"/>
              </w:rPr>
            </w:pPr>
            <w:r w:rsidRPr="00A044E8">
              <w:rPr>
                <w:rFonts w:ascii="Calibri" w:eastAsia="Calibri" w:hAnsi="Calibri" w:cs="Calibri"/>
                <w:i/>
                <w:iCs/>
                <w:sz w:val="18"/>
                <w:szCs w:val="18"/>
              </w:rPr>
              <w:t xml:space="preserve">Cognitive decline and mood changes esp. important in older adults (&gt; 65 years) </w:t>
            </w:r>
          </w:p>
        </w:tc>
      </w:tr>
      <w:tr w:rsidR="00B40890" w:rsidRPr="00A044E8" w14:paraId="00CA6CFB" w14:textId="77777777" w:rsidTr="00337A84">
        <w:tc>
          <w:tcPr>
            <w:tcW w:w="5000" w:type="pct"/>
            <w:gridSpan w:val="3"/>
            <w:shd w:val="clear" w:color="auto" w:fill="9CC2E5"/>
            <w:vAlign w:val="center"/>
          </w:tcPr>
          <w:p w14:paraId="352FAB46" w14:textId="77777777" w:rsidR="00B40890" w:rsidRPr="00A044E8" w:rsidRDefault="00B40890" w:rsidP="00B40890">
            <w:pPr>
              <w:spacing w:line="276" w:lineRule="auto"/>
              <w:rPr>
                <w:rFonts w:ascii="Calibri" w:eastAsia="Calibri" w:hAnsi="Calibri" w:cs="Calibri"/>
                <w:b/>
                <w:bCs/>
                <w:sz w:val="18"/>
                <w:szCs w:val="18"/>
              </w:rPr>
            </w:pPr>
            <w:r w:rsidRPr="00A044E8">
              <w:rPr>
                <w:rFonts w:ascii="Calibri" w:eastAsia="Calibri" w:hAnsi="Calibri" w:cs="Calibri"/>
                <w:b/>
                <w:bCs/>
                <w:sz w:val="18"/>
                <w:szCs w:val="18"/>
              </w:rPr>
              <w:t>ESSENTIAL TREMOR</w:t>
            </w:r>
          </w:p>
        </w:tc>
      </w:tr>
      <w:tr w:rsidR="00C92550" w:rsidRPr="00A044E8" w14:paraId="62A5D389" w14:textId="77777777" w:rsidTr="00337A84">
        <w:trPr>
          <w:trHeight w:val="100"/>
        </w:trPr>
        <w:tc>
          <w:tcPr>
            <w:tcW w:w="1667" w:type="pct"/>
            <w:vAlign w:val="center"/>
          </w:tcPr>
          <w:p w14:paraId="73C2D57E" w14:textId="77777777" w:rsidR="00C92550" w:rsidRPr="00A044E8" w:rsidRDefault="00C92550" w:rsidP="00B40890">
            <w:pPr>
              <w:spacing w:line="276" w:lineRule="auto"/>
              <w:rPr>
                <w:rFonts w:ascii="Calibri" w:eastAsia="Calibri" w:hAnsi="Calibri" w:cs="Calibri"/>
                <w:sz w:val="18"/>
                <w:szCs w:val="18"/>
              </w:rPr>
            </w:pPr>
            <w:r w:rsidRPr="00A044E8">
              <w:rPr>
                <w:rFonts w:ascii="Calibri" w:eastAsia="Calibri" w:hAnsi="Calibri" w:cs="Calibri"/>
                <w:b/>
                <w:bCs/>
                <w:sz w:val="18"/>
                <w:szCs w:val="18"/>
              </w:rPr>
              <w:t>Clinician-Assessed Health Outcomes</w:t>
            </w:r>
          </w:p>
        </w:tc>
        <w:tc>
          <w:tcPr>
            <w:tcW w:w="1420" w:type="pct"/>
            <w:vAlign w:val="center"/>
          </w:tcPr>
          <w:p w14:paraId="61D47A12" w14:textId="7B5129F0" w:rsidR="00C92550" w:rsidRPr="00A044E8" w:rsidRDefault="00C92550" w:rsidP="00C92550">
            <w:pPr>
              <w:spacing w:line="257" w:lineRule="auto"/>
              <w:rPr>
                <w:rFonts w:ascii="Calibri" w:eastAsia="Calibri" w:hAnsi="Calibri" w:cs="Calibri"/>
                <w:sz w:val="18"/>
                <w:szCs w:val="18"/>
              </w:rPr>
            </w:pPr>
            <w:r w:rsidRPr="00A044E8">
              <w:rPr>
                <w:rFonts w:ascii="Calibri" w:eastAsia="Calibri" w:hAnsi="Calibri" w:cs="Calibri"/>
                <w:sz w:val="18"/>
                <w:szCs w:val="18"/>
              </w:rPr>
              <w:t>Reduction in tremor (89%)</w:t>
            </w:r>
          </w:p>
        </w:tc>
        <w:tc>
          <w:tcPr>
            <w:tcW w:w="1913" w:type="pct"/>
          </w:tcPr>
          <w:p w14:paraId="6A29DA3A" w14:textId="0E376A12" w:rsidR="00C92550" w:rsidRPr="00A044E8" w:rsidRDefault="00C92550" w:rsidP="00C257AE">
            <w:pPr>
              <w:spacing w:line="276" w:lineRule="auto"/>
              <w:rPr>
                <w:rFonts w:ascii="Calibri" w:eastAsia="Calibri" w:hAnsi="Calibri" w:cs="Calibri"/>
                <w:sz w:val="18"/>
                <w:szCs w:val="18"/>
              </w:rPr>
            </w:pPr>
            <w:r w:rsidRPr="00A044E8">
              <w:rPr>
                <w:rFonts w:ascii="Calibri" w:eastAsia="Calibri" w:hAnsi="Calibri" w:cs="Calibri"/>
                <w:sz w:val="18"/>
                <w:szCs w:val="18"/>
              </w:rPr>
              <w:t>FTM-TRS (66.1), Hand Tremor score (30.8), CRST (15.7),</w:t>
            </w:r>
            <w:r w:rsidRPr="00A044E8" w:rsidDel="00D73E07">
              <w:rPr>
                <w:rFonts w:ascii="Calibri" w:eastAsia="Calibri" w:hAnsi="Calibri" w:cs="Calibri"/>
                <w:sz w:val="18"/>
                <w:szCs w:val="18"/>
              </w:rPr>
              <w:t xml:space="preserve"> </w:t>
            </w:r>
            <w:r w:rsidRPr="00A044E8">
              <w:rPr>
                <w:rFonts w:ascii="Calibri" w:eastAsia="Calibri" w:hAnsi="Calibri" w:cs="Calibri"/>
                <w:sz w:val="18"/>
                <w:szCs w:val="18"/>
              </w:rPr>
              <w:t>TETRAS (2.3%)</w:t>
            </w:r>
            <w:r w:rsidRPr="00A044E8">
              <w:rPr>
                <w:rFonts w:ascii="Calibri" w:eastAsia="Calibri" w:hAnsi="Calibri" w:cs="Calibri"/>
                <w:b/>
                <w:bCs/>
                <w:color w:val="000000" w:themeColor="text1"/>
                <w:sz w:val="18"/>
                <w:szCs w:val="18"/>
              </w:rPr>
              <w:t>‡</w:t>
            </w:r>
          </w:p>
        </w:tc>
      </w:tr>
      <w:tr w:rsidR="00B40890" w:rsidRPr="00A044E8" w14:paraId="1403595C" w14:textId="77777777" w:rsidTr="00337A84">
        <w:tc>
          <w:tcPr>
            <w:tcW w:w="1667" w:type="pct"/>
            <w:vAlign w:val="center"/>
          </w:tcPr>
          <w:p w14:paraId="0EB12143" w14:textId="77777777" w:rsidR="00B40890" w:rsidRPr="00A044E8" w:rsidRDefault="00B40890" w:rsidP="00B40890">
            <w:pPr>
              <w:spacing w:line="276" w:lineRule="auto"/>
              <w:rPr>
                <w:rFonts w:ascii="Calibri" w:eastAsia="Calibri" w:hAnsi="Calibri" w:cs="Calibri"/>
                <w:b/>
                <w:bCs/>
                <w:sz w:val="18"/>
                <w:szCs w:val="18"/>
              </w:rPr>
            </w:pPr>
            <w:r w:rsidRPr="00A044E8">
              <w:rPr>
                <w:rFonts w:ascii="Calibri" w:eastAsia="Calibri" w:hAnsi="Calibri" w:cs="Calibri"/>
                <w:b/>
                <w:bCs/>
                <w:color w:val="000000"/>
                <w:sz w:val="18"/>
                <w:szCs w:val="18"/>
              </w:rPr>
              <w:t>Patient-Reported Outcomes</w:t>
            </w:r>
          </w:p>
        </w:tc>
        <w:tc>
          <w:tcPr>
            <w:tcW w:w="1420" w:type="pct"/>
            <w:vAlign w:val="center"/>
          </w:tcPr>
          <w:p w14:paraId="3C55CFCC" w14:textId="77777777" w:rsidR="00B40890" w:rsidRPr="00A044E8" w:rsidRDefault="00B40890" w:rsidP="00B40890">
            <w:pPr>
              <w:spacing w:line="257" w:lineRule="auto"/>
              <w:rPr>
                <w:rFonts w:ascii="Calibri" w:eastAsia="Calibri" w:hAnsi="Calibri" w:cs="Calibri"/>
                <w:sz w:val="18"/>
                <w:szCs w:val="18"/>
              </w:rPr>
            </w:pPr>
            <w:r w:rsidRPr="00A044E8">
              <w:rPr>
                <w:rFonts w:ascii="Calibri" w:eastAsia="Calibri" w:hAnsi="Calibri" w:cs="Calibri"/>
                <w:sz w:val="18"/>
                <w:szCs w:val="18"/>
              </w:rPr>
              <w:t>Tremor-related QoL OR tremor-related ADL (44%)</w:t>
            </w:r>
          </w:p>
        </w:tc>
        <w:tc>
          <w:tcPr>
            <w:tcW w:w="1913" w:type="pct"/>
            <w:vAlign w:val="center"/>
          </w:tcPr>
          <w:p w14:paraId="43119163" w14:textId="47035C8F" w:rsidR="00B40890" w:rsidRPr="00A044E8" w:rsidRDefault="00B40890" w:rsidP="00B40890">
            <w:pPr>
              <w:spacing w:line="276" w:lineRule="auto"/>
              <w:rPr>
                <w:rFonts w:ascii="Calibri" w:eastAsia="Calibri" w:hAnsi="Calibri" w:cs="Calibri"/>
                <w:sz w:val="18"/>
                <w:szCs w:val="18"/>
              </w:rPr>
            </w:pPr>
            <w:r w:rsidRPr="00A044E8">
              <w:rPr>
                <w:rFonts w:ascii="Calibri" w:eastAsia="Calibri" w:hAnsi="Calibri" w:cs="Calibri"/>
                <w:sz w:val="18"/>
                <w:szCs w:val="18"/>
              </w:rPr>
              <w:t>QUEST (42.2%)</w:t>
            </w:r>
            <w:r w:rsidR="00EB7821" w:rsidRPr="00A044E8">
              <w:rPr>
                <w:rFonts w:ascii="Calibri" w:eastAsia="Calibri" w:hAnsi="Calibri" w:cs="Calibri"/>
                <w:sz w:val="18"/>
                <w:szCs w:val="18"/>
              </w:rPr>
              <w:t xml:space="preserve">, </w:t>
            </w:r>
            <w:r w:rsidRPr="00A044E8">
              <w:rPr>
                <w:rFonts w:ascii="Calibri" w:eastAsia="Calibri" w:hAnsi="Calibri" w:cs="Calibri"/>
                <w:sz w:val="18"/>
                <w:szCs w:val="18"/>
              </w:rPr>
              <w:t>FTM-TRS Part C (24.4%)</w:t>
            </w:r>
          </w:p>
        </w:tc>
      </w:tr>
      <w:tr w:rsidR="00B40890" w:rsidRPr="00A044E8" w14:paraId="3C9ECD5A" w14:textId="77777777" w:rsidTr="00337A84">
        <w:tc>
          <w:tcPr>
            <w:tcW w:w="5000" w:type="pct"/>
            <w:gridSpan w:val="3"/>
            <w:shd w:val="clear" w:color="auto" w:fill="C5E0B3" w:themeFill="accent6" w:themeFillTint="66"/>
            <w:vAlign w:val="center"/>
          </w:tcPr>
          <w:p w14:paraId="507BE8CC" w14:textId="69CA4F80" w:rsidR="00B40890" w:rsidRPr="00A044E8" w:rsidRDefault="00B40890" w:rsidP="00B40890">
            <w:pPr>
              <w:spacing w:line="276" w:lineRule="auto"/>
              <w:rPr>
                <w:rFonts w:ascii="Calibri" w:eastAsia="Calibri" w:hAnsi="Calibri" w:cs="Calibri"/>
                <w:sz w:val="18"/>
                <w:szCs w:val="18"/>
              </w:rPr>
            </w:pPr>
            <w:r w:rsidRPr="00A044E8">
              <w:rPr>
                <w:rFonts w:ascii="Calibri" w:eastAsia="Calibri" w:hAnsi="Calibri" w:cs="Calibri"/>
                <w:sz w:val="18"/>
                <w:szCs w:val="18"/>
              </w:rPr>
              <w:t>One reviewer cautioned that the FTM-TRS is not commonly used clinically.</w:t>
            </w:r>
          </w:p>
        </w:tc>
      </w:tr>
      <w:tr w:rsidR="00B40890" w:rsidRPr="00A044E8" w14:paraId="70D9EE1D" w14:textId="77777777" w:rsidTr="00337A84">
        <w:tc>
          <w:tcPr>
            <w:tcW w:w="1667" w:type="pct"/>
            <w:shd w:val="clear" w:color="auto" w:fill="C5E0B3" w:themeFill="accent6" w:themeFillTint="66"/>
            <w:vAlign w:val="center"/>
          </w:tcPr>
          <w:p w14:paraId="634BE8BB" w14:textId="1A500DB1" w:rsidR="00B40890" w:rsidRPr="00A044E8" w:rsidRDefault="00B40890" w:rsidP="00B40890">
            <w:pPr>
              <w:spacing w:line="276" w:lineRule="auto"/>
              <w:rPr>
                <w:rFonts w:ascii="Calibri" w:eastAsia="Calibri" w:hAnsi="Calibri" w:cs="Calibri"/>
                <w:sz w:val="18"/>
                <w:szCs w:val="18"/>
              </w:rPr>
            </w:pPr>
            <w:r w:rsidRPr="00A044E8">
              <w:rPr>
                <w:rFonts w:ascii="Calibri" w:eastAsia="Calibri" w:hAnsi="Calibri" w:cs="Calibri"/>
                <w:b/>
                <w:bCs/>
                <w:sz w:val="18"/>
                <w:szCs w:val="18"/>
              </w:rPr>
              <w:t>Device-Related Safety</w:t>
            </w:r>
          </w:p>
        </w:tc>
        <w:tc>
          <w:tcPr>
            <w:tcW w:w="3333" w:type="pct"/>
            <w:gridSpan w:val="2"/>
            <w:shd w:val="clear" w:color="auto" w:fill="C5E0B3" w:themeFill="accent6" w:themeFillTint="66"/>
            <w:vAlign w:val="center"/>
          </w:tcPr>
          <w:p w14:paraId="10142B9D" w14:textId="592B8A3A" w:rsidR="00B40890" w:rsidRPr="00A044E8" w:rsidRDefault="00B40890" w:rsidP="00B40890">
            <w:pPr>
              <w:spacing w:line="276" w:lineRule="auto"/>
              <w:rPr>
                <w:rFonts w:ascii="Calibri" w:eastAsia="Calibri" w:hAnsi="Calibri" w:cs="Calibri"/>
                <w:sz w:val="18"/>
                <w:szCs w:val="18"/>
              </w:rPr>
            </w:pPr>
            <w:r w:rsidRPr="00A044E8">
              <w:rPr>
                <w:rFonts w:ascii="Calibri" w:eastAsia="Calibri" w:hAnsi="Calibri" w:cs="Calibri"/>
                <w:sz w:val="18"/>
                <w:szCs w:val="18"/>
              </w:rPr>
              <w:t>Same as those listed for PD</w:t>
            </w:r>
          </w:p>
        </w:tc>
      </w:tr>
      <w:tr w:rsidR="00B40890" w:rsidRPr="00A044E8" w14:paraId="7966C530" w14:textId="77777777" w:rsidTr="00337A84">
        <w:tc>
          <w:tcPr>
            <w:tcW w:w="5000" w:type="pct"/>
            <w:gridSpan w:val="3"/>
            <w:vAlign w:val="center"/>
          </w:tcPr>
          <w:p w14:paraId="5F87E275" w14:textId="17B405DB" w:rsidR="00B40890" w:rsidRPr="00A044E8" w:rsidRDefault="00B40890" w:rsidP="00B40890">
            <w:pPr>
              <w:rPr>
                <w:rFonts w:ascii="Calibri" w:eastAsia="Calibri" w:hAnsi="Calibri" w:cs="Calibri"/>
                <w:color w:val="000000"/>
                <w:sz w:val="18"/>
                <w:szCs w:val="18"/>
              </w:rPr>
            </w:pPr>
            <w:r w:rsidRPr="00A044E8">
              <w:rPr>
                <w:rFonts w:ascii="Calibri" w:eastAsia="Calibri" w:hAnsi="Calibri" w:cs="Calibri"/>
                <w:b/>
                <w:bCs/>
                <w:color w:val="000000"/>
                <w:sz w:val="18"/>
                <w:szCs w:val="18"/>
              </w:rPr>
              <w:t xml:space="preserve">Abbreviations: </w:t>
            </w:r>
            <w:r w:rsidRPr="00A044E8">
              <w:rPr>
                <w:rFonts w:ascii="Calibri" w:eastAsia="Calibri" w:hAnsi="Calibri" w:cs="Calibri"/>
                <w:sz w:val="18"/>
                <w:szCs w:val="18"/>
              </w:rPr>
              <w:t>ADL: Activities of daily living; CRST: Clinical Rating Scale for Tremor; FOG-Q: Freezing of Gait Questionnaire; FTM-TRS: Fahn Tolosa Marin Tremor Rating Scale; MDS-NMSS: MDS Non-Motor Symptom Scale; MDS-UPDRS: Movement Disorder</w:t>
            </w:r>
            <w:r w:rsidR="00A12B45" w:rsidRPr="00A044E8">
              <w:rPr>
                <w:rFonts w:ascii="Calibri" w:eastAsia="Calibri" w:hAnsi="Calibri" w:cs="Calibri"/>
                <w:sz w:val="18"/>
                <w:szCs w:val="18"/>
              </w:rPr>
              <w:t>s</w:t>
            </w:r>
            <w:r w:rsidRPr="00A044E8">
              <w:rPr>
                <w:rFonts w:ascii="Calibri" w:eastAsia="Calibri" w:hAnsi="Calibri" w:cs="Calibri"/>
                <w:sz w:val="18"/>
                <w:szCs w:val="18"/>
              </w:rPr>
              <w:t xml:space="preserve"> Society–Sponsored Revision of the UPDRS; MoCA: Montreal Cognitive Assessment; PDQ-39: Parkinson Disease’s Questionnaire-39; </w:t>
            </w:r>
            <w:r w:rsidRPr="00A044E8">
              <w:rPr>
                <w:rFonts w:ascii="Calibri" w:eastAsia="Calibri" w:hAnsi="Calibri" w:cs="Calibri"/>
                <w:color w:val="000000"/>
                <w:sz w:val="16"/>
                <w:szCs w:val="16"/>
              </w:rPr>
              <w:t xml:space="preserve">PDSS-2: Parkinson's Disease Sleep Scale 2nd version; </w:t>
            </w:r>
            <w:r w:rsidRPr="00A044E8">
              <w:rPr>
                <w:rFonts w:ascii="Calibri" w:eastAsia="Calibri" w:hAnsi="Calibri" w:cs="Calibri"/>
                <w:sz w:val="18"/>
                <w:szCs w:val="18"/>
              </w:rPr>
              <w:t>QoL: Quality of life; QUEST: Quality of Life Essential Tremor Questionnaire; TETRAS: Tremor Research Group Essential Tremor Rating Assessment scale; TUG test: Time Up and Go Test; UPDRS: Unified Parkinson’s Disease Rating Scale</w:t>
            </w:r>
          </w:p>
          <w:p w14:paraId="3C49E1C3" w14:textId="23D7D169" w:rsidR="00B40890" w:rsidRPr="00A044E8" w:rsidRDefault="00B40890" w:rsidP="00C92550">
            <w:pPr>
              <w:rPr>
                <w:rFonts w:ascii="Calibri" w:eastAsia="Calibri" w:hAnsi="Calibri" w:cs="Calibri"/>
                <w:sz w:val="18"/>
                <w:szCs w:val="18"/>
              </w:rPr>
            </w:pPr>
            <w:r w:rsidRPr="00A044E8">
              <w:rPr>
                <w:rFonts w:ascii="Calibri" w:eastAsia="Calibri" w:hAnsi="Calibri" w:cs="Calibri"/>
                <w:sz w:val="18"/>
                <w:szCs w:val="18"/>
              </w:rPr>
              <w:t>*</w:t>
            </w:r>
            <w:r w:rsidR="00C92550" w:rsidRPr="00A044E8">
              <w:rPr>
                <w:rFonts w:eastAsia="Calibri" w:cstheme="minorHAnsi"/>
                <w:sz w:val="18"/>
                <w:szCs w:val="18"/>
              </w:rPr>
              <w:t xml:space="preserve">Prioritizaion = </w:t>
            </w:r>
            <w:r w:rsidRPr="00A044E8">
              <w:rPr>
                <w:rFonts w:eastAsia="Calibri" w:cstheme="minorHAnsi"/>
                <w:sz w:val="18"/>
                <w:szCs w:val="18"/>
              </w:rPr>
              <w:t xml:space="preserve"> cit</w:t>
            </w:r>
            <w:r w:rsidR="00C92550" w:rsidRPr="00A044E8">
              <w:rPr>
                <w:rFonts w:eastAsia="Calibri" w:cstheme="minorHAnsi"/>
                <w:sz w:val="18"/>
                <w:szCs w:val="18"/>
              </w:rPr>
              <w:t>ation</w:t>
            </w:r>
            <w:r w:rsidRPr="00A044E8">
              <w:rPr>
                <w:rFonts w:eastAsia="Calibri" w:cstheme="minorHAnsi"/>
                <w:sz w:val="18"/>
                <w:szCs w:val="18"/>
              </w:rPr>
              <w:t xml:space="preserve"> by ≥40% of studies </w:t>
            </w:r>
            <w:r w:rsidR="00C92550" w:rsidRPr="00A044E8">
              <w:rPr>
                <w:rFonts w:eastAsia="Calibri" w:cstheme="minorHAnsi"/>
                <w:sz w:val="18"/>
                <w:szCs w:val="18"/>
              </w:rPr>
              <w:t>i</w:t>
            </w:r>
            <w:r w:rsidRPr="00A044E8">
              <w:rPr>
                <w:rFonts w:eastAsia="Calibri" w:cstheme="minorHAnsi"/>
                <w:sz w:val="18"/>
                <w:szCs w:val="18"/>
              </w:rPr>
              <w:t>n the systematic reviews that discussed that endpoint. For example, the systematic reviews that discussed change in motor severity collectively included 278 primary studies</w:t>
            </w:r>
            <w:r w:rsidR="00C92550" w:rsidRPr="00A044E8">
              <w:rPr>
                <w:rFonts w:eastAsia="Calibri" w:cstheme="minorHAnsi"/>
                <w:sz w:val="18"/>
                <w:szCs w:val="18"/>
              </w:rPr>
              <w:t>;</w:t>
            </w:r>
            <w:r w:rsidRPr="00A044E8">
              <w:rPr>
                <w:rFonts w:eastAsia="Calibri" w:cstheme="minorHAnsi"/>
                <w:sz w:val="18"/>
                <w:szCs w:val="18"/>
              </w:rPr>
              <w:t xml:space="preserve"> 180 (64.78%) investigated change in motor severity; thus, motor severity was prioritized.</w:t>
            </w:r>
            <w:r w:rsidR="00C92550" w:rsidRPr="00A044E8">
              <w:rPr>
                <w:rFonts w:eastAsia="Calibri" w:cstheme="minorHAnsi"/>
                <w:sz w:val="18"/>
                <w:szCs w:val="18"/>
              </w:rPr>
              <w:t xml:space="preserve">   </w:t>
            </w:r>
            <w:r w:rsidRPr="00A044E8">
              <w:rPr>
                <w:rFonts w:ascii="Calibri" w:eastAsia="Calibri" w:hAnsi="Calibri" w:cs="Calibri"/>
                <w:sz w:val="18"/>
                <w:szCs w:val="18"/>
              </w:rPr>
              <w:t xml:space="preserve">†Citation volume was calculated in a manner analogous to that used for clinical endpoint citation volume. </w:t>
            </w:r>
            <w:r w:rsidR="00C92550" w:rsidRPr="00A044E8">
              <w:rPr>
                <w:rFonts w:ascii="Calibri" w:eastAsia="Calibri" w:hAnsi="Calibri" w:cs="Calibri"/>
                <w:sz w:val="18"/>
                <w:szCs w:val="18"/>
              </w:rPr>
              <w:t xml:space="preserve">   </w:t>
            </w:r>
            <w:r w:rsidR="00D940A2" w:rsidRPr="00A044E8">
              <w:rPr>
                <w:rFonts w:ascii="Calibri" w:eastAsia="Calibri" w:hAnsi="Calibri" w:cs="Calibri"/>
                <w:sz w:val="18"/>
                <w:szCs w:val="18"/>
              </w:rPr>
              <w:t xml:space="preserve">‡PD instruments assess motor-related ADL, not the standard set of </w:t>
            </w:r>
            <w:proofErr w:type="gramStart"/>
            <w:r w:rsidR="00D940A2" w:rsidRPr="00A044E8">
              <w:rPr>
                <w:rFonts w:ascii="Calibri" w:eastAsia="Calibri" w:hAnsi="Calibri" w:cs="Calibri"/>
                <w:sz w:val="18"/>
                <w:szCs w:val="18"/>
              </w:rPr>
              <w:t>ADL</w:t>
            </w:r>
            <w:proofErr w:type="gramEnd"/>
            <w:r w:rsidR="00D940A2" w:rsidRPr="00A044E8">
              <w:rPr>
                <w:rFonts w:ascii="Calibri" w:eastAsia="Calibri" w:hAnsi="Calibri" w:cs="Calibri"/>
                <w:sz w:val="18"/>
                <w:szCs w:val="18"/>
              </w:rPr>
              <w:t>. Another term used in the literature is “experiences of daily living”.</w:t>
            </w:r>
            <w:r w:rsidR="00C92550" w:rsidRPr="00A044E8">
              <w:rPr>
                <w:rFonts w:ascii="Calibri" w:eastAsia="Calibri" w:hAnsi="Calibri" w:cs="Calibri"/>
                <w:sz w:val="18"/>
                <w:szCs w:val="18"/>
              </w:rPr>
              <w:t xml:space="preserve">  </w:t>
            </w:r>
            <w:r w:rsidRPr="00A044E8">
              <w:rPr>
                <w:rFonts w:ascii="Calibri" w:eastAsia="Calibri" w:hAnsi="Calibri" w:cs="Calibri"/>
                <w:sz w:val="18"/>
                <w:szCs w:val="18"/>
              </w:rPr>
              <w:t xml:space="preserve">‡Due to </w:t>
            </w:r>
            <w:r w:rsidRPr="00A044E8">
              <w:rPr>
                <w:rFonts w:ascii="Calibri" w:eastAsia="Calibri" w:hAnsi="Calibri" w:cs="Calibri"/>
                <w:sz w:val="18"/>
                <w:szCs w:val="18"/>
              </w:rPr>
              <w:lastRenderedPageBreak/>
              <w:t>high heterogeneity in the instruments used for assessing prioritized clinical endpoints, instruments for some prioritized endpoints did not reach the cut-off value of ≥40%.</w:t>
            </w:r>
          </w:p>
        </w:tc>
      </w:tr>
    </w:tbl>
    <w:p w14:paraId="4B23E31D" w14:textId="77777777" w:rsidR="006F4E73" w:rsidRPr="00A044E8" w:rsidRDefault="006F4E73" w:rsidP="00896B85">
      <w:pPr>
        <w:rPr>
          <w:u w:val="single"/>
        </w:rPr>
      </w:pPr>
    </w:p>
    <w:p w14:paraId="16FFBD02" w14:textId="1A5F528A" w:rsidR="00896B85" w:rsidRPr="00A044E8" w:rsidRDefault="00896B85" w:rsidP="00896B85">
      <w:pPr>
        <w:rPr>
          <w:b/>
          <w:bCs/>
        </w:rPr>
      </w:pPr>
      <w:bookmarkStart w:id="3" w:name="Table_A2"/>
      <w:r w:rsidRPr="00A044E8">
        <w:rPr>
          <w:b/>
          <w:bCs/>
        </w:rPr>
        <w:t>Table A2. All Clinical Endpoints Investigated in the Primary Studies Included in Systematic Reviews</w:t>
      </w:r>
      <w:r w:rsidR="0019561D" w:rsidRPr="00A044E8">
        <w:rPr>
          <w:b/>
          <w:bCs/>
        </w:rPr>
        <w:t xml:space="preserve"> (Derived from Appendix Table B2 in the </w:t>
      </w:r>
      <w:r w:rsidR="00337A84" w:rsidRPr="00A044E8">
        <w:rPr>
          <w:b/>
          <w:bCs/>
        </w:rPr>
        <w:t xml:space="preserve">full </w:t>
      </w:r>
      <w:r w:rsidR="0019561D" w:rsidRPr="00A044E8">
        <w:rPr>
          <w:b/>
          <w:bCs/>
        </w:rPr>
        <w:t>CER)</w:t>
      </w:r>
    </w:p>
    <w:tbl>
      <w:tblPr>
        <w:tblStyle w:val="TableGrid"/>
        <w:tblW w:w="0" w:type="auto"/>
        <w:tblInd w:w="725" w:type="dxa"/>
        <w:tblBorders>
          <w:insideH w:val="none" w:sz="0" w:space="0" w:color="auto"/>
          <w:insideV w:val="none" w:sz="0" w:space="0" w:color="auto"/>
        </w:tblBorders>
        <w:tblLook w:val="04A0" w:firstRow="1" w:lastRow="0" w:firstColumn="1" w:lastColumn="0" w:noHBand="0" w:noVBand="1"/>
      </w:tblPr>
      <w:tblGrid>
        <w:gridCol w:w="3528"/>
        <w:gridCol w:w="1416"/>
      </w:tblGrid>
      <w:tr w:rsidR="00896B85" w:rsidRPr="00A044E8" w14:paraId="0B6483CB" w14:textId="77777777" w:rsidTr="00227428">
        <w:trPr>
          <w:trHeight w:val="449"/>
        </w:trPr>
        <w:tc>
          <w:tcPr>
            <w:tcW w:w="0" w:type="auto"/>
            <w:tcBorders>
              <w:top w:val="single" w:sz="4" w:space="0" w:color="auto"/>
              <w:bottom w:val="single" w:sz="4" w:space="0" w:color="auto"/>
            </w:tcBorders>
            <w:shd w:val="clear" w:color="auto" w:fill="2E74B5" w:themeFill="accent5" w:themeFillShade="BF"/>
            <w:vAlign w:val="center"/>
          </w:tcPr>
          <w:bookmarkEnd w:id="3"/>
          <w:p w14:paraId="3BEE6F67" w14:textId="77777777" w:rsidR="00896B85" w:rsidRPr="00A044E8" w:rsidRDefault="00896B85" w:rsidP="00227428">
            <w:pPr>
              <w:pStyle w:val="ListParagraph"/>
              <w:ind w:left="0"/>
              <w:jc w:val="center"/>
              <w:rPr>
                <w:b/>
                <w:bCs/>
                <w:color w:val="FFFFFF" w:themeColor="background1"/>
                <w:sz w:val="18"/>
                <w:szCs w:val="18"/>
              </w:rPr>
            </w:pPr>
            <w:r w:rsidRPr="00A044E8">
              <w:rPr>
                <w:b/>
                <w:bCs/>
                <w:color w:val="FFFFFF" w:themeColor="background1"/>
                <w:sz w:val="18"/>
                <w:szCs w:val="18"/>
              </w:rPr>
              <w:t>Clinical Endpoint</w:t>
            </w:r>
          </w:p>
        </w:tc>
        <w:tc>
          <w:tcPr>
            <w:tcW w:w="0" w:type="auto"/>
            <w:tcBorders>
              <w:top w:val="single" w:sz="4" w:space="0" w:color="auto"/>
              <w:bottom w:val="single" w:sz="4" w:space="0" w:color="auto"/>
            </w:tcBorders>
            <w:shd w:val="clear" w:color="auto" w:fill="2E74B5" w:themeFill="accent5" w:themeFillShade="BF"/>
            <w:vAlign w:val="center"/>
          </w:tcPr>
          <w:p w14:paraId="4534887A" w14:textId="77777777" w:rsidR="00896B85" w:rsidRPr="00A044E8" w:rsidRDefault="00896B85" w:rsidP="00227428">
            <w:pPr>
              <w:pStyle w:val="ListParagraph"/>
              <w:ind w:left="0"/>
              <w:jc w:val="center"/>
              <w:rPr>
                <w:b/>
                <w:bCs/>
                <w:color w:val="FFFFFF" w:themeColor="background1"/>
                <w:sz w:val="18"/>
                <w:szCs w:val="18"/>
              </w:rPr>
            </w:pPr>
            <w:r w:rsidRPr="00A044E8">
              <w:rPr>
                <w:b/>
                <w:bCs/>
                <w:color w:val="FFFFFF" w:themeColor="background1"/>
                <w:sz w:val="18"/>
                <w:szCs w:val="18"/>
              </w:rPr>
              <w:t xml:space="preserve">Citation Volume </w:t>
            </w:r>
          </w:p>
        </w:tc>
      </w:tr>
      <w:tr w:rsidR="00896B85" w:rsidRPr="00A044E8" w14:paraId="4E88552A" w14:textId="77777777" w:rsidTr="00227428">
        <w:tc>
          <w:tcPr>
            <w:tcW w:w="0" w:type="auto"/>
            <w:tcBorders>
              <w:top w:val="single" w:sz="4" w:space="0" w:color="auto"/>
            </w:tcBorders>
            <w:shd w:val="clear" w:color="auto" w:fill="9CC2E5" w:themeFill="accent5" w:themeFillTint="99"/>
            <w:vAlign w:val="center"/>
          </w:tcPr>
          <w:p w14:paraId="2A20C390" w14:textId="77777777" w:rsidR="00896B85" w:rsidRPr="00A044E8" w:rsidRDefault="00896B85" w:rsidP="00227428">
            <w:pPr>
              <w:pStyle w:val="ListParagraph"/>
              <w:ind w:left="0"/>
              <w:rPr>
                <w:rFonts w:ascii="Calibri" w:eastAsia="Calibri" w:hAnsi="Calibri" w:cs="Calibri"/>
                <w:b/>
                <w:bCs/>
                <w:sz w:val="18"/>
                <w:szCs w:val="18"/>
              </w:rPr>
            </w:pPr>
            <w:r w:rsidRPr="00A044E8">
              <w:rPr>
                <w:rFonts w:ascii="Calibri" w:eastAsia="Calibri" w:hAnsi="Calibri" w:cs="Calibri"/>
                <w:b/>
                <w:bCs/>
                <w:sz w:val="18"/>
                <w:szCs w:val="18"/>
              </w:rPr>
              <w:t>PARKINSON’S DISEASE</w:t>
            </w:r>
          </w:p>
        </w:tc>
        <w:tc>
          <w:tcPr>
            <w:tcW w:w="0" w:type="auto"/>
            <w:tcBorders>
              <w:top w:val="single" w:sz="4" w:space="0" w:color="auto"/>
            </w:tcBorders>
            <w:shd w:val="clear" w:color="auto" w:fill="9CC2E5" w:themeFill="accent5" w:themeFillTint="99"/>
            <w:vAlign w:val="center"/>
          </w:tcPr>
          <w:p w14:paraId="45FB235C" w14:textId="77777777" w:rsidR="00896B85" w:rsidRPr="00A044E8" w:rsidRDefault="00896B85" w:rsidP="00227428">
            <w:pPr>
              <w:tabs>
                <w:tab w:val="left" w:pos="926"/>
              </w:tabs>
              <w:jc w:val="center"/>
              <w:rPr>
                <w:rFonts w:ascii="Calibri" w:eastAsia="Calibri" w:hAnsi="Calibri" w:cs="Calibri"/>
                <w:sz w:val="18"/>
                <w:szCs w:val="18"/>
              </w:rPr>
            </w:pPr>
          </w:p>
        </w:tc>
      </w:tr>
      <w:tr w:rsidR="00896B85" w:rsidRPr="00A044E8" w14:paraId="05CFC1EB" w14:textId="77777777" w:rsidTr="00227428">
        <w:tc>
          <w:tcPr>
            <w:tcW w:w="0" w:type="auto"/>
            <w:gridSpan w:val="2"/>
            <w:tcBorders>
              <w:top w:val="single" w:sz="4" w:space="0" w:color="auto"/>
            </w:tcBorders>
            <w:shd w:val="clear" w:color="auto" w:fill="BDD6EE" w:themeFill="accent5" w:themeFillTint="66"/>
            <w:vAlign w:val="center"/>
          </w:tcPr>
          <w:p w14:paraId="5F3816CE" w14:textId="77777777" w:rsidR="00896B85" w:rsidRPr="00A044E8" w:rsidRDefault="00896B85" w:rsidP="00227428">
            <w:pPr>
              <w:tabs>
                <w:tab w:val="left" w:pos="926"/>
              </w:tabs>
              <w:rPr>
                <w:rFonts w:ascii="Calibri" w:eastAsia="Calibri" w:hAnsi="Calibri" w:cs="Calibri"/>
                <w:b/>
                <w:bCs/>
                <w:sz w:val="18"/>
                <w:szCs w:val="18"/>
              </w:rPr>
            </w:pPr>
            <w:r w:rsidRPr="00A044E8">
              <w:rPr>
                <w:rFonts w:ascii="Calibri" w:eastAsia="Calibri" w:hAnsi="Calibri" w:cs="Calibri"/>
                <w:b/>
                <w:bCs/>
                <w:sz w:val="18"/>
                <w:szCs w:val="18"/>
              </w:rPr>
              <w:t xml:space="preserve">Prioritized </w:t>
            </w:r>
          </w:p>
        </w:tc>
      </w:tr>
      <w:tr w:rsidR="00896B85" w:rsidRPr="00A044E8" w14:paraId="5540F365" w14:textId="77777777" w:rsidTr="00227428">
        <w:tc>
          <w:tcPr>
            <w:tcW w:w="0" w:type="auto"/>
            <w:tcBorders>
              <w:top w:val="single" w:sz="4" w:space="0" w:color="auto"/>
            </w:tcBorders>
            <w:vAlign w:val="center"/>
          </w:tcPr>
          <w:p w14:paraId="0E4F0920" w14:textId="77777777" w:rsidR="00896B85" w:rsidRPr="00A044E8" w:rsidRDefault="00896B85" w:rsidP="00227428">
            <w:pPr>
              <w:pStyle w:val="ListParagraph"/>
              <w:ind w:left="0"/>
              <w:rPr>
                <w:color w:val="000000"/>
                <w:sz w:val="18"/>
                <w:szCs w:val="18"/>
                <w14:ligatures w14:val="none"/>
              </w:rPr>
            </w:pPr>
            <w:r w:rsidRPr="00A044E8">
              <w:rPr>
                <w:rFonts w:ascii="Calibri" w:eastAsia="Calibri" w:hAnsi="Calibri" w:cs="Calibri"/>
                <w:sz w:val="18"/>
                <w:szCs w:val="18"/>
              </w:rPr>
              <w:t>Global change in motor severity</w:t>
            </w:r>
          </w:p>
        </w:tc>
        <w:tc>
          <w:tcPr>
            <w:tcW w:w="0" w:type="auto"/>
            <w:tcBorders>
              <w:top w:val="single" w:sz="4" w:space="0" w:color="auto"/>
            </w:tcBorders>
            <w:shd w:val="clear" w:color="auto" w:fill="auto"/>
            <w:vAlign w:val="center"/>
          </w:tcPr>
          <w:p w14:paraId="091DBF4F" w14:textId="77777777" w:rsidR="00896B85" w:rsidRPr="00A044E8" w:rsidRDefault="00896B85" w:rsidP="00227428">
            <w:pPr>
              <w:tabs>
                <w:tab w:val="left" w:pos="926"/>
              </w:tabs>
              <w:jc w:val="center"/>
              <w:rPr>
                <w:sz w:val="18"/>
                <w:szCs w:val="18"/>
              </w:rPr>
            </w:pPr>
            <w:r w:rsidRPr="00A044E8">
              <w:rPr>
                <w:rFonts w:ascii="Calibri" w:eastAsia="Calibri" w:hAnsi="Calibri" w:cs="Calibri"/>
                <w:sz w:val="18"/>
                <w:szCs w:val="18"/>
              </w:rPr>
              <w:t>65%</w:t>
            </w:r>
          </w:p>
        </w:tc>
      </w:tr>
      <w:tr w:rsidR="00896B85" w:rsidRPr="00A044E8" w14:paraId="6392064F" w14:textId="77777777" w:rsidTr="00227428">
        <w:tc>
          <w:tcPr>
            <w:tcW w:w="0" w:type="auto"/>
            <w:vAlign w:val="center"/>
          </w:tcPr>
          <w:p w14:paraId="37C63E49" w14:textId="77777777" w:rsidR="00896B85" w:rsidRPr="00A044E8" w:rsidRDefault="00896B85" w:rsidP="00227428">
            <w:pPr>
              <w:pStyle w:val="ListParagraph"/>
              <w:ind w:left="0"/>
              <w:rPr>
                <w:color w:val="000000"/>
                <w:sz w:val="18"/>
                <w:szCs w:val="18"/>
                <w14:ligatures w14:val="none"/>
              </w:rPr>
            </w:pPr>
            <w:r w:rsidRPr="00A044E8">
              <w:rPr>
                <w:color w:val="000000"/>
                <w:sz w:val="18"/>
                <w:szCs w:val="18"/>
                <w14:ligatures w14:val="none"/>
              </w:rPr>
              <w:t>QoL</w:t>
            </w:r>
          </w:p>
        </w:tc>
        <w:tc>
          <w:tcPr>
            <w:tcW w:w="0" w:type="auto"/>
            <w:shd w:val="clear" w:color="auto" w:fill="auto"/>
            <w:vAlign w:val="center"/>
          </w:tcPr>
          <w:p w14:paraId="4B505321" w14:textId="77777777" w:rsidR="00896B85" w:rsidRPr="00A044E8" w:rsidRDefault="00896B85" w:rsidP="00227428">
            <w:pPr>
              <w:pStyle w:val="ListParagraph"/>
              <w:ind w:left="0"/>
              <w:jc w:val="center"/>
              <w:rPr>
                <w:sz w:val="18"/>
                <w:szCs w:val="18"/>
              </w:rPr>
            </w:pPr>
            <w:r w:rsidRPr="00A044E8">
              <w:rPr>
                <w:sz w:val="18"/>
                <w:szCs w:val="18"/>
              </w:rPr>
              <w:t>53%</w:t>
            </w:r>
          </w:p>
        </w:tc>
      </w:tr>
      <w:tr w:rsidR="00896B85" w:rsidRPr="00A044E8" w14:paraId="3BFA0E89" w14:textId="77777777" w:rsidTr="008E15A6">
        <w:tc>
          <w:tcPr>
            <w:tcW w:w="0" w:type="auto"/>
            <w:tcBorders>
              <w:bottom w:val="nil"/>
            </w:tcBorders>
            <w:vAlign w:val="center"/>
          </w:tcPr>
          <w:p w14:paraId="7408DF0F" w14:textId="77777777" w:rsidR="00896B85" w:rsidRPr="00A044E8" w:rsidRDefault="00896B85" w:rsidP="00227428">
            <w:pPr>
              <w:pStyle w:val="ListParagraph"/>
              <w:ind w:left="0"/>
              <w:rPr>
                <w:color w:val="000000"/>
                <w:sz w:val="18"/>
                <w:szCs w:val="18"/>
                <w14:ligatures w14:val="none"/>
              </w:rPr>
            </w:pPr>
            <w:r w:rsidRPr="00A044E8">
              <w:rPr>
                <w:color w:val="000000"/>
                <w:sz w:val="18"/>
                <w:szCs w:val="18"/>
                <w14:ligatures w14:val="none"/>
              </w:rPr>
              <w:t>PD-related ADL</w:t>
            </w:r>
          </w:p>
        </w:tc>
        <w:tc>
          <w:tcPr>
            <w:tcW w:w="0" w:type="auto"/>
            <w:tcBorders>
              <w:bottom w:val="nil"/>
            </w:tcBorders>
            <w:shd w:val="clear" w:color="auto" w:fill="auto"/>
            <w:vAlign w:val="center"/>
          </w:tcPr>
          <w:p w14:paraId="136244E7" w14:textId="77777777" w:rsidR="00896B85" w:rsidRPr="00A044E8" w:rsidRDefault="00896B85" w:rsidP="00227428">
            <w:pPr>
              <w:pStyle w:val="ListParagraph"/>
              <w:ind w:left="0"/>
              <w:jc w:val="center"/>
              <w:rPr>
                <w:sz w:val="18"/>
                <w:szCs w:val="18"/>
              </w:rPr>
            </w:pPr>
            <w:r w:rsidRPr="00A044E8">
              <w:rPr>
                <w:sz w:val="18"/>
                <w:szCs w:val="18"/>
              </w:rPr>
              <w:t>48%</w:t>
            </w:r>
          </w:p>
        </w:tc>
      </w:tr>
      <w:tr w:rsidR="00896B85" w:rsidRPr="00A044E8" w14:paraId="16E37751" w14:textId="77777777" w:rsidTr="008E15A6">
        <w:tc>
          <w:tcPr>
            <w:tcW w:w="0" w:type="auto"/>
            <w:tcBorders>
              <w:top w:val="nil"/>
              <w:bottom w:val="nil"/>
            </w:tcBorders>
            <w:vAlign w:val="center"/>
          </w:tcPr>
          <w:p w14:paraId="030C7597" w14:textId="77777777" w:rsidR="00896B85" w:rsidRPr="00A044E8" w:rsidRDefault="00896B85" w:rsidP="00227428">
            <w:pPr>
              <w:pStyle w:val="ListParagraph"/>
              <w:ind w:left="0"/>
              <w:rPr>
                <w:sz w:val="18"/>
                <w:szCs w:val="18"/>
              </w:rPr>
            </w:pPr>
            <w:r w:rsidRPr="00A044E8">
              <w:rPr>
                <w:color w:val="000000"/>
                <w:sz w:val="18"/>
                <w:szCs w:val="18"/>
                <w14:ligatures w14:val="none"/>
              </w:rPr>
              <w:t>Cognitive function</w:t>
            </w:r>
          </w:p>
        </w:tc>
        <w:tc>
          <w:tcPr>
            <w:tcW w:w="0" w:type="auto"/>
            <w:tcBorders>
              <w:top w:val="nil"/>
              <w:bottom w:val="nil"/>
            </w:tcBorders>
            <w:vAlign w:val="center"/>
          </w:tcPr>
          <w:p w14:paraId="1007D0D7" w14:textId="77777777" w:rsidR="00896B85" w:rsidRPr="00A044E8" w:rsidRDefault="00896B85" w:rsidP="00227428">
            <w:pPr>
              <w:pStyle w:val="ListParagraph"/>
              <w:ind w:left="0"/>
              <w:jc w:val="center"/>
              <w:rPr>
                <w:sz w:val="18"/>
                <w:szCs w:val="18"/>
              </w:rPr>
            </w:pPr>
            <w:r w:rsidRPr="00A044E8">
              <w:rPr>
                <w:sz w:val="18"/>
                <w:szCs w:val="18"/>
              </w:rPr>
              <w:t>42%</w:t>
            </w:r>
          </w:p>
        </w:tc>
      </w:tr>
      <w:tr w:rsidR="00896B85" w:rsidRPr="00A044E8" w14:paraId="5B6D2E63" w14:textId="77777777" w:rsidTr="008E15A6">
        <w:tc>
          <w:tcPr>
            <w:tcW w:w="0" w:type="auto"/>
            <w:tcBorders>
              <w:top w:val="nil"/>
              <w:bottom w:val="single" w:sz="4" w:space="0" w:color="auto"/>
            </w:tcBorders>
            <w:vAlign w:val="center"/>
          </w:tcPr>
          <w:p w14:paraId="2F65132D" w14:textId="77777777" w:rsidR="00896B85" w:rsidRPr="00A044E8" w:rsidRDefault="00896B85" w:rsidP="00227428">
            <w:pPr>
              <w:pStyle w:val="ListParagraph"/>
              <w:ind w:left="0"/>
              <w:rPr>
                <w:color w:val="000000"/>
                <w:sz w:val="18"/>
                <w:szCs w:val="18"/>
                <w14:ligatures w14:val="none"/>
              </w:rPr>
            </w:pPr>
            <w:r w:rsidRPr="00A044E8">
              <w:rPr>
                <w:rFonts w:ascii="Calibri" w:eastAsia="Calibri" w:hAnsi="Calibri" w:cs="Calibri"/>
                <w:sz w:val="18"/>
                <w:szCs w:val="18"/>
              </w:rPr>
              <w:t>Gait function, p</w:t>
            </w:r>
            <w:r w:rsidRPr="00A044E8">
              <w:rPr>
                <w:rFonts w:ascii="Calibri" w:eastAsia="Calibri" w:hAnsi="Calibri" w:cs="Calibri"/>
                <w:color w:val="000000"/>
                <w:sz w:val="18"/>
                <w:szCs w:val="18"/>
              </w:rPr>
              <w:t>ostural instability and balance</w:t>
            </w:r>
          </w:p>
        </w:tc>
        <w:tc>
          <w:tcPr>
            <w:tcW w:w="0" w:type="auto"/>
            <w:tcBorders>
              <w:top w:val="nil"/>
              <w:bottom w:val="single" w:sz="4" w:space="0" w:color="auto"/>
            </w:tcBorders>
            <w:shd w:val="clear" w:color="auto" w:fill="auto"/>
            <w:vAlign w:val="center"/>
          </w:tcPr>
          <w:p w14:paraId="539D7A64" w14:textId="77777777" w:rsidR="00896B85" w:rsidRPr="00A044E8" w:rsidRDefault="00896B85" w:rsidP="00227428">
            <w:pPr>
              <w:pStyle w:val="ListParagraph"/>
              <w:ind w:left="0"/>
              <w:jc w:val="center"/>
              <w:rPr>
                <w:sz w:val="18"/>
                <w:szCs w:val="18"/>
              </w:rPr>
            </w:pPr>
            <w:r w:rsidRPr="00A044E8">
              <w:rPr>
                <w:sz w:val="18"/>
                <w:szCs w:val="18"/>
              </w:rPr>
              <w:t>40%</w:t>
            </w:r>
          </w:p>
        </w:tc>
      </w:tr>
      <w:tr w:rsidR="00896B85" w:rsidRPr="00A044E8" w14:paraId="451A2A90" w14:textId="77777777" w:rsidTr="00227428">
        <w:tc>
          <w:tcPr>
            <w:tcW w:w="0" w:type="auto"/>
            <w:gridSpan w:val="2"/>
            <w:tcBorders>
              <w:top w:val="single" w:sz="4" w:space="0" w:color="auto"/>
            </w:tcBorders>
            <w:shd w:val="clear" w:color="auto" w:fill="BDD6EE" w:themeFill="accent5" w:themeFillTint="66"/>
            <w:vAlign w:val="center"/>
          </w:tcPr>
          <w:p w14:paraId="06996090" w14:textId="77777777" w:rsidR="00896B85" w:rsidRPr="00A044E8" w:rsidRDefault="00896B85" w:rsidP="00227428">
            <w:pPr>
              <w:tabs>
                <w:tab w:val="left" w:pos="926"/>
              </w:tabs>
              <w:rPr>
                <w:rFonts w:ascii="Calibri" w:eastAsia="Calibri" w:hAnsi="Calibri" w:cs="Calibri"/>
                <w:sz w:val="18"/>
                <w:szCs w:val="18"/>
              </w:rPr>
            </w:pPr>
            <w:r w:rsidRPr="00A044E8">
              <w:rPr>
                <w:rFonts w:ascii="Calibri" w:eastAsia="Calibri" w:hAnsi="Calibri" w:cs="Calibri"/>
                <w:b/>
                <w:bCs/>
                <w:sz w:val="18"/>
                <w:szCs w:val="18"/>
              </w:rPr>
              <w:t>Did not meet prioritization threshold</w:t>
            </w:r>
            <w:r w:rsidRPr="00A044E8">
              <w:rPr>
                <w:rFonts w:ascii="Calibri" w:eastAsia="Calibri" w:hAnsi="Calibri" w:cs="Calibri"/>
                <w:sz w:val="18"/>
                <w:szCs w:val="18"/>
              </w:rPr>
              <w:t xml:space="preserve"> </w:t>
            </w:r>
          </w:p>
        </w:tc>
      </w:tr>
      <w:tr w:rsidR="00896B85" w:rsidRPr="00A044E8" w14:paraId="5C4B6A0C" w14:textId="77777777" w:rsidTr="00227428">
        <w:tc>
          <w:tcPr>
            <w:tcW w:w="0" w:type="auto"/>
            <w:vAlign w:val="center"/>
          </w:tcPr>
          <w:p w14:paraId="17DF9D46" w14:textId="77777777" w:rsidR="00896B85" w:rsidRPr="00A044E8" w:rsidRDefault="00896B85" w:rsidP="00227428">
            <w:pPr>
              <w:pStyle w:val="ListParagraph"/>
              <w:ind w:left="0"/>
              <w:rPr>
                <w:sz w:val="18"/>
                <w:szCs w:val="18"/>
              </w:rPr>
            </w:pPr>
            <w:r w:rsidRPr="00A044E8">
              <w:rPr>
                <w:color w:val="000000"/>
                <w:sz w:val="18"/>
                <w:szCs w:val="18"/>
                <w14:ligatures w14:val="none"/>
              </w:rPr>
              <w:t>PD medication usage</w:t>
            </w:r>
          </w:p>
        </w:tc>
        <w:tc>
          <w:tcPr>
            <w:tcW w:w="0" w:type="auto"/>
            <w:vAlign w:val="center"/>
          </w:tcPr>
          <w:p w14:paraId="78A13A6D" w14:textId="77777777" w:rsidR="00896B85" w:rsidRPr="00A044E8" w:rsidRDefault="00896B85" w:rsidP="00227428">
            <w:pPr>
              <w:pStyle w:val="ListParagraph"/>
              <w:ind w:left="0"/>
              <w:jc w:val="center"/>
              <w:rPr>
                <w:sz w:val="18"/>
                <w:szCs w:val="18"/>
              </w:rPr>
            </w:pPr>
            <w:r w:rsidRPr="00A044E8">
              <w:rPr>
                <w:sz w:val="18"/>
                <w:szCs w:val="18"/>
              </w:rPr>
              <w:t>31%</w:t>
            </w:r>
          </w:p>
        </w:tc>
      </w:tr>
      <w:tr w:rsidR="00896B85" w:rsidRPr="00A044E8" w14:paraId="07ED3A95" w14:textId="77777777" w:rsidTr="00227428">
        <w:tc>
          <w:tcPr>
            <w:tcW w:w="0" w:type="auto"/>
            <w:vAlign w:val="center"/>
          </w:tcPr>
          <w:p w14:paraId="54303157" w14:textId="77777777" w:rsidR="00896B85" w:rsidRPr="00A044E8" w:rsidRDefault="00896B85" w:rsidP="00227428">
            <w:pPr>
              <w:pStyle w:val="ListParagraph"/>
              <w:ind w:left="0"/>
              <w:rPr>
                <w:sz w:val="18"/>
                <w:szCs w:val="18"/>
              </w:rPr>
            </w:pPr>
            <w:r w:rsidRPr="00A044E8">
              <w:rPr>
                <w:sz w:val="18"/>
                <w:szCs w:val="18"/>
              </w:rPr>
              <w:t>Dyskinesia</w:t>
            </w:r>
          </w:p>
        </w:tc>
        <w:tc>
          <w:tcPr>
            <w:tcW w:w="0" w:type="auto"/>
            <w:vAlign w:val="center"/>
          </w:tcPr>
          <w:p w14:paraId="57E1AE6C" w14:textId="77777777" w:rsidR="00896B85" w:rsidRPr="00A044E8" w:rsidRDefault="00896B85" w:rsidP="00227428">
            <w:pPr>
              <w:pStyle w:val="ListParagraph"/>
              <w:ind w:left="0"/>
              <w:jc w:val="center"/>
              <w:rPr>
                <w:sz w:val="18"/>
                <w:szCs w:val="18"/>
              </w:rPr>
            </w:pPr>
            <w:r w:rsidRPr="00A044E8">
              <w:rPr>
                <w:sz w:val="18"/>
                <w:szCs w:val="18"/>
              </w:rPr>
              <w:t>29%</w:t>
            </w:r>
          </w:p>
        </w:tc>
      </w:tr>
      <w:tr w:rsidR="00896B85" w:rsidRPr="00A044E8" w14:paraId="71DC82CD" w14:textId="77777777" w:rsidTr="00227428">
        <w:tc>
          <w:tcPr>
            <w:tcW w:w="0" w:type="auto"/>
            <w:vAlign w:val="center"/>
          </w:tcPr>
          <w:p w14:paraId="32ED1556" w14:textId="77777777" w:rsidR="00896B85" w:rsidRPr="00A044E8" w:rsidRDefault="00896B85" w:rsidP="00227428">
            <w:pPr>
              <w:pStyle w:val="ListParagraph"/>
              <w:ind w:left="0"/>
              <w:rPr>
                <w:sz w:val="18"/>
                <w:szCs w:val="18"/>
              </w:rPr>
            </w:pPr>
            <w:r w:rsidRPr="00A044E8">
              <w:rPr>
                <w:sz w:val="18"/>
                <w:szCs w:val="18"/>
              </w:rPr>
              <w:t>Ataxia</w:t>
            </w:r>
          </w:p>
        </w:tc>
        <w:tc>
          <w:tcPr>
            <w:tcW w:w="0" w:type="auto"/>
            <w:vAlign w:val="center"/>
          </w:tcPr>
          <w:p w14:paraId="4C58485A" w14:textId="77777777" w:rsidR="00896B85" w:rsidRPr="00A044E8" w:rsidRDefault="00896B85" w:rsidP="00227428">
            <w:pPr>
              <w:pStyle w:val="ListParagraph"/>
              <w:ind w:left="0"/>
              <w:jc w:val="center"/>
              <w:rPr>
                <w:sz w:val="18"/>
                <w:szCs w:val="18"/>
              </w:rPr>
            </w:pPr>
            <w:r w:rsidRPr="00A044E8">
              <w:rPr>
                <w:sz w:val="18"/>
                <w:szCs w:val="18"/>
              </w:rPr>
              <w:t>10%</w:t>
            </w:r>
          </w:p>
        </w:tc>
      </w:tr>
      <w:tr w:rsidR="00896B85" w:rsidRPr="00A044E8" w14:paraId="454277B4" w14:textId="77777777" w:rsidTr="00227428">
        <w:tc>
          <w:tcPr>
            <w:tcW w:w="0" w:type="auto"/>
          </w:tcPr>
          <w:p w14:paraId="3392F812" w14:textId="77777777" w:rsidR="00896B85" w:rsidRPr="00A044E8" w:rsidRDefault="00896B85" w:rsidP="00227428">
            <w:pPr>
              <w:pStyle w:val="ListParagraph"/>
              <w:ind w:left="0"/>
              <w:rPr>
                <w:sz w:val="18"/>
                <w:szCs w:val="18"/>
              </w:rPr>
            </w:pPr>
            <w:r w:rsidRPr="00A044E8">
              <w:rPr>
                <w:sz w:val="18"/>
                <w:szCs w:val="18"/>
              </w:rPr>
              <w:t>Sleep quality</w:t>
            </w:r>
          </w:p>
        </w:tc>
        <w:tc>
          <w:tcPr>
            <w:tcW w:w="0" w:type="auto"/>
            <w:shd w:val="clear" w:color="auto" w:fill="auto"/>
            <w:vAlign w:val="center"/>
          </w:tcPr>
          <w:p w14:paraId="28439F49" w14:textId="77777777" w:rsidR="00896B85" w:rsidRPr="00A044E8" w:rsidRDefault="00896B85" w:rsidP="00227428">
            <w:pPr>
              <w:pStyle w:val="ListParagraph"/>
              <w:ind w:left="0"/>
              <w:jc w:val="center"/>
              <w:rPr>
                <w:sz w:val="18"/>
                <w:szCs w:val="18"/>
              </w:rPr>
            </w:pPr>
            <w:r w:rsidRPr="00A044E8">
              <w:rPr>
                <w:sz w:val="18"/>
                <w:szCs w:val="18"/>
              </w:rPr>
              <w:t>10%</w:t>
            </w:r>
          </w:p>
        </w:tc>
      </w:tr>
      <w:tr w:rsidR="00896B85" w:rsidRPr="00A044E8" w14:paraId="489753CC" w14:textId="77777777" w:rsidTr="00227428">
        <w:tc>
          <w:tcPr>
            <w:tcW w:w="0" w:type="auto"/>
          </w:tcPr>
          <w:p w14:paraId="21F71979" w14:textId="77777777" w:rsidR="00896B85" w:rsidRPr="00A044E8" w:rsidRDefault="00896B85" w:rsidP="00227428">
            <w:pPr>
              <w:pStyle w:val="ListParagraph"/>
              <w:ind w:left="0"/>
              <w:rPr>
                <w:sz w:val="18"/>
                <w:szCs w:val="18"/>
              </w:rPr>
            </w:pPr>
            <w:r w:rsidRPr="00A044E8">
              <w:rPr>
                <w:sz w:val="18"/>
                <w:szCs w:val="18"/>
              </w:rPr>
              <w:t>Nonmotor symptoms</w:t>
            </w:r>
          </w:p>
        </w:tc>
        <w:tc>
          <w:tcPr>
            <w:tcW w:w="0" w:type="auto"/>
            <w:shd w:val="clear" w:color="auto" w:fill="auto"/>
            <w:vAlign w:val="center"/>
          </w:tcPr>
          <w:p w14:paraId="1F98EBB5" w14:textId="77777777" w:rsidR="00896B85" w:rsidRPr="00A044E8" w:rsidRDefault="00896B85" w:rsidP="00227428">
            <w:pPr>
              <w:pStyle w:val="ListParagraph"/>
              <w:ind w:left="0"/>
              <w:jc w:val="center"/>
              <w:rPr>
                <w:sz w:val="18"/>
                <w:szCs w:val="18"/>
              </w:rPr>
            </w:pPr>
            <w:r w:rsidRPr="00A044E8">
              <w:rPr>
                <w:sz w:val="18"/>
                <w:szCs w:val="18"/>
              </w:rPr>
              <w:t>16%</w:t>
            </w:r>
          </w:p>
        </w:tc>
      </w:tr>
      <w:tr w:rsidR="00896B85" w:rsidRPr="00A044E8" w14:paraId="508CA9AB" w14:textId="77777777" w:rsidTr="00227428">
        <w:tc>
          <w:tcPr>
            <w:tcW w:w="0" w:type="auto"/>
          </w:tcPr>
          <w:p w14:paraId="7076992A" w14:textId="77777777" w:rsidR="00896B85" w:rsidRPr="00A044E8" w:rsidRDefault="00896B85" w:rsidP="00227428">
            <w:pPr>
              <w:pStyle w:val="ListParagraph"/>
              <w:ind w:left="0"/>
              <w:rPr>
                <w:sz w:val="18"/>
                <w:szCs w:val="18"/>
              </w:rPr>
            </w:pPr>
            <w:r w:rsidRPr="00A044E8">
              <w:rPr>
                <w:sz w:val="18"/>
                <w:szCs w:val="18"/>
              </w:rPr>
              <w:t>Physical function (e.g., balance confidence)</w:t>
            </w:r>
          </w:p>
        </w:tc>
        <w:tc>
          <w:tcPr>
            <w:tcW w:w="0" w:type="auto"/>
            <w:shd w:val="clear" w:color="auto" w:fill="auto"/>
            <w:vAlign w:val="center"/>
          </w:tcPr>
          <w:p w14:paraId="10DEDB38" w14:textId="77777777" w:rsidR="00896B85" w:rsidRPr="00A044E8" w:rsidRDefault="00896B85" w:rsidP="00227428">
            <w:pPr>
              <w:pStyle w:val="ListParagraph"/>
              <w:ind w:left="0"/>
              <w:jc w:val="center"/>
              <w:rPr>
                <w:sz w:val="18"/>
                <w:szCs w:val="18"/>
              </w:rPr>
            </w:pPr>
            <w:r w:rsidRPr="00A044E8">
              <w:rPr>
                <w:sz w:val="18"/>
                <w:szCs w:val="18"/>
              </w:rPr>
              <w:t>10%</w:t>
            </w:r>
          </w:p>
        </w:tc>
      </w:tr>
      <w:tr w:rsidR="00896B85" w:rsidRPr="00A044E8" w14:paraId="1FAA7569" w14:textId="77777777" w:rsidTr="00227428">
        <w:tc>
          <w:tcPr>
            <w:tcW w:w="0" w:type="auto"/>
          </w:tcPr>
          <w:p w14:paraId="3F55D30C" w14:textId="77777777" w:rsidR="00896B85" w:rsidRPr="00A044E8" w:rsidRDefault="00896B85" w:rsidP="00227428">
            <w:pPr>
              <w:pStyle w:val="ListParagraph"/>
              <w:ind w:left="0"/>
              <w:rPr>
                <w:sz w:val="18"/>
                <w:szCs w:val="18"/>
              </w:rPr>
            </w:pPr>
            <w:r w:rsidRPr="00A044E8">
              <w:rPr>
                <w:sz w:val="18"/>
                <w:szCs w:val="18"/>
              </w:rPr>
              <w:t>Fatigue</w:t>
            </w:r>
          </w:p>
        </w:tc>
        <w:tc>
          <w:tcPr>
            <w:tcW w:w="0" w:type="auto"/>
            <w:shd w:val="clear" w:color="auto" w:fill="auto"/>
            <w:vAlign w:val="center"/>
          </w:tcPr>
          <w:p w14:paraId="5A8E499A" w14:textId="77777777" w:rsidR="00896B85" w:rsidRPr="00A044E8" w:rsidRDefault="00896B85" w:rsidP="00227428">
            <w:pPr>
              <w:pStyle w:val="ListParagraph"/>
              <w:ind w:left="0"/>
              <w:jc w:val="center"/>
              <w:rPr>
                <w:sz w:val="18"/>
                <w:szCs w:val="18"/>
              </w:rPr>
            </w:pPr>
            <w:r w:rsidRPr="00A044E8">
              <w:rPr>
                <w:sz w:val="18"/>
                <w:szCs w:val="18"/>
              </w:rPr>
              <w:t>5%</w:t>
            </w:r>
          </w:p>
        </w:tc>
      </w:tr>
      <w:tr w:rsidR="00896B85" w:rsidRPr="00A044E8" w14:paraId="194878A0" w14:textId="77777777" w:rsidTr="00227428">
        <w:tc>
          <w:tcPr>
            <w:tcW w:w="0" w:type="auto"/>
          </w:tcPr>
          <w:p w14:paraId="6966F62A" w14:textId="77777777" w:rsidR="00896B85" w:rsidRPr="00A044E8" w:rsidRDefault="00896B85" w:rsidP="00227428">
            <w:pPr>
              <w:pStyle w:val="ListParagraph"/>
              <w:ind w:left="0"/>
              <w:rPr>
                <w:sz w:val="18"/>
                <w:szCs w:val="18"/>
              </w:rPr>
            </w:pPr>
            <w:r w:rsidRPr="00A044E8">
              <w:rPr>
                <w:sz w:val="18"/>
                <w:szCs w:val="18"/>
              </w:rPr>
              <w:t>Fear of falling</w:t>
            </w:r>
          </w:p>
        </w:tc>
        <w:tc>
          <w:tcPr>
            <w:tcW w:w="0" w:type="auto"/>
            <w:shd w:val="clear" w:color="auto" w:fill="auto"/>
            <w:vAlign w:val="center"/>
          </w:tcPr>
          <w:p w14:paraId="2DFE8BDD" w14:textId="77777777" w:rsidR="00896B85" w:rsidRPr="00A044E8" w:rsidRDefault="00896B85" w:rsidP="00227428">
            <w:pPr>
              <w:pStyle w:val="ListParagraph"/>
              <w:ind w:left="0"/>
              <w:jc w:val="center"/>
              <w:rPr>
                <w:sz w:val="18"/>
                <w:szCs w:val="18"/>
              </w:rPr>
            </w:pPr>
            <w:r w:rsidRPr="00A044E8">
              <w:rPr>
                <w:sz w:val="18"/>
                <w:szCs w:val="18"/>
              </w:rPr>
              <w:t>5%</w:t>
            </w:r>
          </w:p>
        </w:tc>
      </w:tr>
      <w:tr w:rsidR="00896B85" w:rsidRPr="00A044E8" w14:paraId="62FED347" w14:textId="77777777" w:rsidTr="00227428">
        <w:tc>
          <w:tcPr>
            <w:tcW w:w="0" w:type="auto"/>
            <w:tcBorders>
              <w:top w:val="single" w:sz="4" w:space="0" w:color="auto"/>
            </w:tcBorders>
            <w:shd w:val="clear" w:color="auto" w:fill="9CC2E5" w:themeFill="accent5" w:themeFillTint="99"/>
            <w:vAlign w:val="center"/>
          </w:tcPr>
          <w:p w14:paraId="0C4855B7" w14:textId="77777777" w:rsidR="00896B85" w:rsidRPr="00A044E8" w:rsidRDefault="00896B85" w:rsidP="00227428">
            <w:pPr>
              <w:pStyle w:val="ListParagraph"/>
              <w:ind w:left="0"/>
              <w:rPr>
                <w:rFonts w:ascii="Calibri" w:eastAsia="Calibri" w:hAnsi="Calibri" w:cs="Calibri"/>
                <w:b/>
                <w:bCs/>
                <w:sz w:val="18"/>
                <w:szCs w:val="18"/>
              </w:rPr>
            </w:pPr>
            <w:r w:rsidRPr="00A044E8">
              <w:rPr>
                <w:rFonts w:ascii="Calibri" w:eastAsia="Calibri" w:hAnsi="Calibri" w:cs="Calibri"/>
                <w:b/>
                <w:bCs/>
                <w:sz w:val="18"/>
                <w:szCs w:val="18"/>
              </w:rPr>
              <w:t>ESSENTIAL TREMOR</w:t>
            </w:r>
          </w:p>
        </w:tc>
        <w:tc>
          <w:tcPr>
            <w:tcW w:w="0" w:type="auto"/>
            <w:tcBorders>
              <w:top w:val="single" w:sz="4" w:space="0" w:color="auto"/>
            </w:tcBorders>
            <w:shd w:val="clear" w:color="auto" w:fill="9CC2E5" w:themeFill="accent5" w:themeFillTint="99"/>
            <w:vAlign w:val="center"/>
          </w:tcPr>
          <w:p w14:paraId="4E0CFAD0" w14:textId="77777777" w:rsidR="00896B85" w:rsidRPr="00A044E8" w:rsidRDefault="00896B85" w:rsidP="00227428">
            <w:pPr>
              <w:tabs>
                <w:tab w:val="left" w:pos="926"/>
              </w:tabs>
              <w:jc w:val="center"/>
              <w:rPr>
                <w:rFonts w:ascii="Calibri" w:eastAsia="Calibri" w:hAnsi="Calibri" w:cs="Calibri"/>
                <w:sz w:val="18"/>
                <w:szCs w:val="18"/>
              </w:rPr>
            </w:pPr>
          </w:p>
        </w:tc>
      </w:tr>
      <w:tr w:rsidR="00896B85" w:rsidRPr="00A044E8" w14:paraId="05EFAD77" w14:textId="77777777" w:rsidTr="00227428">
        <w:tc>
          <w:tcPr>
            <w:tcW w:w="0" w:type="auto"/>
          </w:tcPr>
          <w:p w14:paraId="64FC4333" w14:textId="77777777" w:rsidR="00896B85" w:rsidRPr="00A044E8" w:rsidRDefault="00896B85" w:rsidP="00227428">
            <w:pPr>
              <w:pStyle w:val="ListParagraph"/>
              <w:ind w:left="0"/>
              <w:rPr>
                <w:sz w:val="18"/>
                <w:szCs w:val="18"/>
              </w:rPr>
            </w:pPr>
            <w:r w:rsidRPr="00A044E8">
              <w:rPr>
                <w:sz w:val="18"/>
                <w:szCs w:val="18"/>
                <w14:ligatures w14:val="none"/>
              </w:rPr>
              <w:t>Reduction of tremor</w:t>
            </w:r>
          </w:p>
        </w:tc>
        <w:tc>
          <w:tcPr>
            <w:tcW w:w="0" w:type="auto"/>
            <w:shd w:val="clear" w:color="auto" w:fill="auto"/>
            <w:vAlign w:val="center"/>
          </w:tcPr>
          <w:p w14:paraId="3CAAF7C2" w14:textId="77777777" w:rsidR="00896B85" w:rsidRPr="00A044E8" w:rsidRDefault="00896B85" w:rsidP="00227428">
            <w:pPr>
              <w:pStyle w:val="ListParagraph"/>
              <w:ind w:left="0"/>
              <w:jc w:val="center"/>
              <w:rPr>
                <w:sz w:val="18"/>
                <w:szCs w:val="18"/>
              </w:rPr>
            </w:pPr>
            <w:r w:rsidRPr="00A044E8">
              <w:rPr>
                <w:sz w:val="18"/>
                <w:szCs w:val="18"/>
              </w:rPr>
              <w:t>89%</w:t>
            </w:r>
          </w:p>
        </w:tc>
      </w:tr>
      <w:tr w:rsidR="00896B85" w:rsidRPr="00A044E8" w14:paraId="70C778CE" w14:textId="77777777" w:rsidTr="00227428">
        <w:tc>
          <w:tcPr>
            <w:tcW w:w="0" w:type="auto"/>
          </w:tcPr>
          <w:p w14:paraId="56DE557E" w14:textId="77777777" w:rsidR="00896B85" w:rsidRPr="00A044E8" w:rsidRDefault="00896B85" w:rsidP="00227428">
            <w:pPr>
              <w:pStyle w:val="ListParagraph"/>
              <w:ind w:left="0"/>
              <w:rPr>
                <w:sz w:val="18"/>
                <w:szCs w:val="18"/>
              </w:rPr>
            </w:pPr>
            <w:r w:rsidRPr="00A044E8">
              <w:rPr>
                <w:rFonts w:ascii="Calibri" w:eastAsia="Calibri" w:hAnsi="Calibri" w:cs="Calibri"/>
                <w:color w:val="000000"/>
                <w:sz w:val="18"/>
                <w:szCs w:val="18"/>
              </w:rPr>
              <w:t>Impact of motor symptoms on ADL and QoL</w:t>
            </w:r>
          </w:p>
        </w:tc>
        <w:tc>
          <w:tcPr>
            <w:tcW w:w="0" w:type="auto"/>
            <w:vAlign w:val="center"/>
          </w:tcPr>
          <w:p w14:paraId="2A82A382" w14:textId="77777777" w:rsidR="00896B85" w:rsidRPr="00A044E8" w:rsidRDefault="00896B85" w:rsidP="00227428">
            <w:pPr>
              <w:pStyle w:val="ListParagraph"/>
              <w:ind w:left="0"/>
              <w:jc w:val="center"/>
              <w:rPr>
                <w:sz w:val="18"/>
                <w:szCs w:val="18"/>
              </w:rPr>
            </w:pPr>
            <w:r w:rsidRPr="00A044E8">
              <w:rPr>
                <w:sz w:val="18"/>
                <w:szCs w:val="18"/>
              </w:rPr>
              <w:t>44%</w:t>
            </w:r>
          </w:p>
        </w:tc>
      </w:tr>
    </w:tbl>
    <w:p w14:paraId="1C80AB05" w14:textId="77777777" w:rsidR="00896B85" w:rsidRPr="00A044E8" w:rsidRDefault="00896B85" w:rsidP="00896B85">
      <w:pPr>
        <w:rPr>
          <w:u w:val="single"/>
        </w:rPr>
        <w:sectPr w:rsidR="00896B85" w:rsidRPr="00A044E8" w:rsidSect="00337A84">
          <w:pgSz w:w="12240" w:h="15840"/>
          <w:pgMar w:top="360" w:right="720" w:bottom="360" w:left="720" w:header="720" w:footer="720" w:gutter="0"/>
          <w:cols w:space="720"/>
          <w:docGrid w:linePitch="360"/>
        </w:sectPr>
      </w:pPr>
    </w:p>
    <w:p w14:paraId="0DA64D78" w14:textId="32B9FED0" w:rsidR="00896B85" w:rsidRPr="00A044E8" w:rsidRDefault="00896B85" w:rsidP="00896B85">
      <w:pPr>
        <w:pStyle w:val="ListParagraph"/>
        <w:ind w:left="0"/>
        <w:rPr>
          <w:rFonts w:eastAsiaTheme="minorEastAsia" w:cstheme="minorHAnsi"/>
          <w:b/>
          <w:bCs/>
          <w:color w:val="000000" w:themeColor="text1"/>
        </w:rPr>
      </w:pPr>
      <w:bookmarkStart w:id="4" w:name="Table_B1"/>
      <w:r w:rsidRPr="00A044E8">
        <w:rPr>
          <w:b/>
          <w:bCs/>
        </w:rPr>
        <w:lastRenderedPageBreak/>
        <w:t>Table B</w:t>
      </w:r>
      <w:r w:rsidR="0002570F" w:rsidRPr="00A044E8">
        <w:rPr>
          <w:b/>
          <w:bCs/>
        </w:rPr>
        <w:t>1</w:t>
      </w:r>
      <w:r w:rsidRPr="00A044E8">
        <w:rPr>
          <w:b/>
          <w:bCs/>
        </w:rPr>
        <w:t xml:space="preserve">. </w:t>
      </w:r>
      <w:r w:rsidRPr="00A044E8">
        <w:rPr>
          <w:rFonts w:eastAsiaTheme="minorEastAsia" w:cstheme="minorHAnsi"/>
          <w:b/>
          <w:bCs/>
          <w:color w:val="000000" w:themeColor="text1"/>
        </w:rPr>
        <w:t xml:space="preserve">Clinical Endpoints Derived from Professional Guidance Documents on Parkinson’s Disease </w:t>
      </w:r>
      <w:r w:rsidR="00CF199A" w:rsidRPr="00A044E8">
        <w:rPr>
          <w:rFonts w:eastAsiaTheme="minorEastAsia" w:cstheme="minorHAnsi"/>
          <w:b/>
          <w:bCs/>
          <w:color w:val="000000" w:themeColor="text1"/>
        </w:rPr>
        <w:t xml:space="preserve">(Table 3 in the </w:t>
      </w:r>
      <w:r w:rsidR="00337A84" w:rsidRPr="00A044E8">
        <w:rPr>
          <w:rFonts w:eastAsiaTheme="minorEastAsia" w:cstheme="minorHAnsi"/>
          <w:b/>
          <w:bCs/>
          <w:color w:val="000000" w:themeColor="text1"/>
        </w:rPr>
        <w:t xml:space="preserve">full </w:t>
      </w:r>
      <w:r w:rsidR="00CF199A" w:rsidRPr="00A044E8">
        <w:rPr>
          <w:rFonts w:eastAsiaTheme="minorEastAsia" w:cstheme="minorHAnsi"/>
          <w:b/>
          <w:bCs/>
          <w:color w:val="000000" w:themeColor="text1"/>
        </w:rPr>
        <w:t>CER)</w:t>
      </w:r>
    </w:p>
    <w:tbl>
      <w:tblPr>
        <w:tblStyle w:val="TableGrid"/>
        <w:tblW w:w="0" w:type="auto"/>
        <w:tblLayout w:type="fixed"/>
        <w:tblLook w:val="04A0" w:firstRow="1" w:lastRow="0" w:firstColumn="1" w:lastColumn="0" w:noHBand="0" w:noVBand="1"/>
      </w:tblPr>
      <w:tblGrid>
        <w:gridCol w:w="1435"/>
        <w:gridCol w:w="2250"/>
        <w:gridCol w:w="2160"/>
        <w:gridCol w:w="12"/>
        <w:gridCol w:w="2238"/>
        <w:gridCol w:w="2430"/>
        <w:gridCol w:w="16"/>
        <w:gridCol w:w="2409"/>
      </w:tblGrid>
      <w:tr w:rsidR="00CF199A" w:rsidRPr="00A044E8" w14:paraId="2B73BBB6" w14:textId="77777777" w:rsidTr="0051191C">
        <w:trPr>
          <w:trHeight w:val="1134"/>
          <w:tblHeader/>
        </w:trPr>
        <w:tc>
          <w:tcPr>
            <w:tcW w:w="1435" w:type="dxa"/>
            <w:shd w:val="clear" w:color="auto" w:fill="2E74B5" w:themeFill="accent5" w:themeFillShade="BF"/>
            <w:vAlign w:val="center"/>
          </w:tcPr>
          <w:p w14:paraId="615EE2F7" w14:textId="59BD31C8" w:rsidR="00CF199A" w:rsidRPr="00A044E8" w:rsidRDefault="0051191C" w:rsidP="0051191C">
            <w:pPr>
              <w:spacing w:line="276" w:lineRule="auto"/>
              <w:jc w:val="center"/>
              <w:rPr>
                <w:rFonts w:eastAsiaTheme="minorEastAsia" w:cstheme="minorHAnsi"/>
                <w:b/>
                <w:bCs/>
                <w:color w:val="FFFFFF" w:themeColor="background1"/>
                <w:sz w:val="18"/>
                <w:szCs w:val="18"/>
              </w:rPr>
            </w:pPr>
            <w:bookmarkStart w:id="5" w:name="_Hlk188529485"/>
            <w:bookmarkEnd w:id="4"/>
            <w:r w:rsidRPr="00A044E8">
              <w:rPr>
                <w:rFonts w:eastAsiaTheme="minorEastAsia" w:cstheme="minorHAnsi"/>
                <w:b/>
                <w:bCs/>
                <w:color w:val="FFFFFF" w:themeColor="background1"/>
                <w:sz w:val="18"/>
                <w:szCs w:val="18"/>
              </w:rPr>
              <w:t>Clinical Endpoints</w:t>
            </w:r>
          </w:p>
        </w:tc>
        <w:tc>
          <w:tcPr>
            <w:tcW w:w="2250" w:type="dxa"/>
            <w:shd w:val="clear" w:color="auto" w:fill="2E74B5" w:themeFill="accent5" w:themeFillShade="BF"/>
            <w:vAlign w:val="center"/>
          </w:tcPr>
          <w:p w14:paraId="10360728" w14:textId="77777777" w:rsidR="00CF199A" w:rsidRPr="00A044E8" w:rsidRDefault="00CF199A" w:rsidP="00145D18">
            <w:pPr>
              <w:spacing w:line="276" w:lineRule="auto"/>
              <w:jc w:val="center"/>
              <w:rPr>
                <w:rFonts w:eastAsiaTheme="minorEastAsia" w:cstheme="minorHAnsi"/>
                <w:b/>
                <w:bCs/>
                <w:color w:val="FFFFFF" w:themeColor="background1"/>
                <w:sz w:val="18"/>
                <w:szCs w:val="18"/>
              </w:rPr>
            </w:pPr>
            <w:r w:rsidRPr="00A044E8">
              <w:rPr>
                <w:rFonts w:eastAsiaTheme="minorEastAsia" w:cstheme="minorHAnsi"/>
                <w:b/>
                <w:bCs/>
                <w:color w:val="FFFFFF" w:themeColor="background1"/>
                <w:sz w:val="18"/>
                <w:szCs w:val="18"/>
              </w:rPr>
              <w:t xml:space="preserve">Fox et al., (2018) (IPMDS). </w:t>
            </w:r>
            <w:r w:rsidRPr="00A044E8">
              <w:rPr>
                <w:rFonts w:eastAsiaTheme="minorEastAsia" w:cstheme="minorHAnsi"/>
                <w:color w:val="FFFFFF" w:themeColor="background1"/>
                <w:sz w:val="18"/>
                <w:szCs w:val="18"/>
              </w:rPr>
              <w:t>Updates to evidence-based int’l CPG, broad range of therapies</w:t>
            </w:r>
          </w:p>
        </w:tc>
        <w:tc>
          <w:tcPr>
            <w:tcW w:w="2172" w:type="dxa"/>
            <w:gridSpan w:val="2"/>
            <w:shd w:val="clear" w:color="auto" w:fill="2E74B5" w:themeFill="accent5" w:themeFillShade="BF"/>
            <w:vAlign w:val="center"/>
          </w:tcPr>
          <w:p w14:paraId="03BD52D1" w14:textId="1D37C11C" w:rsidR="00CF199A" w:rsidRPr="00A044E8" w:rsidRDefault="00CF199A" w:rsidP="00145D18">
            <w:pPr>
              <w:spacing w:line="276" w:lineRule="auto"/>
              <w:jc w:val="center"/>
              <w:rPr>
                <w:rFonts w:eastAsiaTheme="minorEastAsia" w:cstheme="minorHAnsi"/>
                <w:color w:val="FFFFFF" w:themeColor="background1"/>
                <w:sz w:val="18"/>
                <w:szCs w:val="18"/>
              </w:rPr>
            </w:pPr>
            <w:r w:rsidRPr="00A044E8">
              <w:rPr>
                <w:rFonts w:eastAsiaTheme="minorEastAsia" w:cstheme="minorHAnsi"/>
                <w:b/>
                <w:bCs/>
                <w:noProof/>
                <w:color w:val="FFFFFF" w:themeColor="background1"/>
                <w:sz w:val="18"/>
                <w:szCs w:val="18"/>
              </w:rPr>
              <w:t>Odin et al., (2018) (IPMDS).</w:t>
            </w:r>
            <w:r w:rsidRPr="00A044E8">
              <w:rPr>
                <w:rFonts w:eastAsiaTheme="minorEastAsia" w:cstheme="minorHAnsi"/>
                <w:noProof/>
                <w:color w:val="FFFFFF" w:themeColor="background1"/>
                <w:sz w:val="18"/>
                <w:szCs w:val="18"/>
              </w:rPr>
              <w:t xml:space="preserve"> Expert panel recommendations regarding how to assess use of wearable sensor devices</w:t>
            </w:r>
          </w:p>
        </w:tc>
        <w:tc>
          <w:tcPr>
            <w:tcW w:w="2238" w:type="dxa"/>
            <w:shd w:val="clear" w:color="auto" w:fill="2E74B5" w:themeFill="accent5" w:themeFillShade="BF"/>
            <w:vAlign w:val="center"/>
          </w:tcPr>
          <w:p w14:paraId="111EC1C5" w14:textId="7EF811A1" w:rsidR="00CF199A" w:rsidRPr="00A044E8" w:rsidRDefault="00CF199A" w:rsidP="00145D18">
            <w:pPr>
              <w:spacing w:line="276" w:lineRule="auto"/>
              <w:jc w:val="center"/>
              <w:rPr>
                <w:rFonts w:eastAsiaTheme="minorEastAsia" w:cstheme="minorHAnsi"/>
                <w:color w:val="FFFFFF" w:themeColor="background1"/>
                <w:sz w:val="18"/>
                <w:szCs w:val="18"/>
              </w:rPr>
            </w:pPr>
            <w:proofErr w:type="spellStart"/>
            <w:r w:rsidRPr="00A044E8">
              <w:rPr>
                <w:rFonts w:eastAsiaTheme="minorEastAsia" w:cstheme="minorHAnsi"/>
                <w:b/>
                <w:bCs/>
                <w:color w:val="FFFFFF" w:themeColor="background1"/>
                <w:sz w:val="18"/>
                <w:szCs w:val="18"/>
              </w:rPr>
              <w:t>Rughani</w:t>
            </w:r>
            <w:proofErr w:type="spellEnd"/>
            <w:r w:rsidRPr="00A044E8">
              <w:rPr>
                <w:rFonts w:eastAsiaTheme="minorEastAsia" w:cstheme="minorHAnsi"/>
                <w:b/>
                <w:bCs/>
                <w:color w:val="FFFFFF" w:themeColor="background1"/>
                <w:sz w:val="18"/>
                <w:szCs w:val="18"/>
              </w:rPr>
              <w:t xml:space="preserve"> et al., (2018) (CNS/ASSFN). </w:t>
            </w:r>
            <w:r w:rsidRPr="00A044E8">
              <w:rPr>
                <w:rFonts w:eastAsiaTheme="minorEastAsia" w:cstheme="minorHAnsi"/>
                <w:color w:val="FFFFFF" w:themeColor="background1"/>
                <w:sz w:val="18"/>
                <w:szCs w:val="18"/>
              </w:rPr>
              <w:t xml:space="preserve">Evidence-based CPG on comparative effectiveness of DBS to the STN vs. </w:t>
            </w:r>
            <w:proofErr w:type="spellStart"/>
            <w:r w:rsidRPr="00A044E8">
              <w:rPr>
                <w:rFonts w:eastAsiaTheme="minorEastAsia" w:cstheme="minorHAnsi"/>
                <w:color w:val="FFFFFF" w:themeColor="background1"/>
                <w:sz w:val="18"/>
                <w:szCs w:val="18"/>
              </w:rPr>
              <w:t>GPi</w:t>
            </w:r>
            <w:proofErr w:type="spellEnd"/>
          </w:p>
        </w:tc>
        <w:tc>
          <w:tcPr>
            <w:tcW w:w="2446" w:type="dxa"/>
            <w:gridSpan w:val="2"/>
            <w:shd w:val="clear" w:color="auto" w:fill="2E74B5" w:themeFill="accent5" w:themeFillShade="BF"/>
            <w:vAlign w:val="center"/>
          </w:tcPr>
          <w:p w14:paraId="63FC4BA0" w14:textId="77777777" w:rsidR="00CF199A" w:rsidRPr="00A044E8" w:rsidRDefault="00CF199A" w:rsidP="00145D18">
            <w:pPr>
              <w:spacing w:line="276" w:lineRule="auto"/>
              <w:jc w:val="center"/>
              <w:rPr>
                <w:rFonts w:eastAsiaTheme="minorEastAsia" w:cstheme="minorHAnsi"/>
                <w:b/>
                <w:bCs/>
                <w:color w:val="FFFFFF" w:themeColor="background1"/>
                <w:sz w:val="18"/>
                <w:szCs w:val="18"/>
              </w:rPr>
            </w:pPr>
            <w:proofErr w:type="spellStart"/>
            <w:r w:rsidRPr="00A044E8">
              <w:rPr>
                <w:rFonts w:eastAsiaTheme="minorEastAsia" w:cstheme="minorHAnsi"/>
                <w:b/>
                <w:bCs/>
                <w:color w:val="FFFFFF" w:themeColor="background1"/>
                <w:sz w:val="18"/>
                <w:szCs w:val="18"/>
              </w:rPr>
              <w:t>Deuschl</w:t>
            </w:r>
            <w:proofErr w:type="spellEnd"/>
            <w:r w:rsidRPr="00A044E8">
              <w:rPr>
                <w:rFonts w:eastAsiaTheme="minorEastAsia" w:cstheme="minorHAnsi"/>
                <w:b/>
                <w:bCs/>
                <w:color w:val="FFFFFF" w:themeColor="background1"/>
                <w:sz w:val="18"/>
                <w:szCs w:val="18"/>
              </w:rPr>
              <w:t xml:space="preserve"> et al., (2022) (EAN and European section of the MDS). </w:t>
            </w:r>
            <w:r w:rsidRPr="00A044E8">
              <w:rPr>
                <w:rFonts w:eastAsiaTheme="minorEastAsia" w:cstheme="minorHAnsi"/>
                <w:color w:val="FFFFFF" w:themeColor="background1"/>
                <w:sz w:val="18"/>
                <w:szCs w:val="18"/>
              </w:rPr>
              <w:t>Evidence-based CPG on invasive therapies for advanced PD, including invasive administration of pharmaceuticals</w:t>
            </w:r>
          </w:p>
        </w:tc>
        <w:tc>
          <w:tcPr>
            <w:tcW w:w="2409" w:type="dxa"/>
            <w:shd w:val="clear" w:color="auto" w:fill="2E74B5" w:themeFill="accent5" w:themeFillShade="BF"/>
            <w:vAlign w:val="center"/>
          </w:tcPr>
          <w:p w14:paraId="60EE27A4" w14:textId="0DC9521D" w:rsidR="00CF199A" w:rsidRPr="00A044E8" w:rsidRDefault="00CF199A" w:rsidP="00145D18">
            <w:pPr>
              <w:spacing w:line="276" w:lineRule="auto"/>
              <w:jc w:val="center"/>
              <w:rPr>
                <w:rFonts w:eastAsiaTheme="minorEastAsia" w:cstheme="minorHAnsi"/>
                <w:b/>
                <w:bCs/>
                <w:color w:val="FFFFFF" w:themeColor="background1"/>
                <w:sz w:val="18"/>
                <w:szCs w:val="18"/>
              </w:rPr>
            </w:pPr>
            <w:r w:rsidRPr="00A044E8">
              <w:rPr>
                <w:rFonts w:eastAsiaTheme="minorEastAsia" w:cstheme="minorHAnsi"/>
                <w:b/>
                <w:bCs/>
                <w:color w:val="FFFFFF" w:themeColor="background1"/>
                <w:sz w:val="18"/>
                <w:szCs w:val="18"/>
              </w:rPr>
              <w:t xml:space="preserve">Saba et al., (2022) (BAN). </w:t>
            </w:r>
            <w:r w:rsidRPr="00A044E8">
              <w:rPr>
                <w:rFonts w:eastAsiaTheme="minorEastAsia" w:cstheme="minorHAnsi"/>
                <w:color w:val="FFFFFF" w:themeColor="background1"/>
                <w:sz w:val="18"/>
                <w:szCs w:val="18"/>
              </w:rPr>
              <w:t>Evidence-based Brazilian CPG, pharmaceutical and DBS treatment of motor symptoms</w:t>
            </w:r>
          </w:p>
        </w:tc>
      </w:tr>
      <w:tr w:rsidR="00CF199A" w:rsidRPr="00A044E8" w14:paraId="7D800A62" w14:textId="77777777" w:rsidTr="00C52F0A">
        <w:tc>
          <w:tcPr>
            <w:tcW w:w="12950" w:type="dxa"/>
            <w:gridSpan w:val="8"/>
            <w:shd w:val="clear" w:color="auto" w:fill="9CC2E5" w:themeFill="accent5" w:themeFillTint="99"/>
            <w:vAlign w:val="center"/>
          </w:tcPr>
          <w:p w14:paraId="11F4F5A2" w14:textId="77777777" w:rsidR="00CF199A" w:rsidRPr="00A044E8" w:rsidRDefault="00CF199A" w:rsidP="00C52F0A">
            <w:pPr>
              <w:spacing w:line="276" w:lineRule="auto"/>
              <w:rPr>
                <w:rFonts w:eastAsiaTheme="minorEastAsia" w:cstheme="minorHAnsi"/>
                <w:b/>
                <w:bCs/>
                <w:color w:val="000000" w:themeColor="text1"/>
                <w:sz w:val="18"/>
                <w:szCs w:val="18"/>
              </w:rPr>
            </w:pPr>
            <w:r w:rsidRPr="00A044E8">
              <w:rPr>
                <w:rFonts w:eastAsiaTheme="minorEastAsia" w:cstheme="minorHAnsi"/>
                <w:b/>
                <w:bCs/>
                <w:color w:val="000000" w:themeColor="text1"/>
                <w:sz w:val="18"/>
                <w:szCs w:val="18"/>
              </w:rPr>
              <w:t>Clinician-Assessed Health Outcomes</w:t>
            </w:r>
          </w:p>
        </w:tc>
      </w:tr>
      <w:tr w:rsidR="00CF199A" w:rsidRPr="00A044E8" w14:paraId="67FA29A3" w14:textId="77777777" w:rsidTr="00C52F0A">
        <w:tc>
          <w:tcPr>
            <w:tcW w:w="1435" w:type="dxa"/>
          </w:tcPr>
          <w:p w14:paraId="341B5D32" w14:textId="77777777" w:rsidR="00CF199A" w:rsidRPr="00A044E8" w:rsidRDefault="00CF199A" w:rsidP="00C52F0A">
            <w:pPr>
              <w:spacing w:line="276" w:lineRule="auto"/>
              <w:rPr>
                <w:rFonts w:eastAsiaTheme="minorEastAsia" w:cstheme="minorHAnsi"/>
                <w:color w:val="000000" w:themeColor="text1"/>
                <w:sz w:val="18"/>
                <w:szCs w:val="18"/>
              </w:rPr>
            </w:pPr>
            <w:r w:rsidRPr="00A044E8">
              <w:rPr>
                <w:rFonts w:eastAsiaTheme="minorEastAsia" w:cstheme="minorHAnsi"/>
                <w:color w:val="000000" w:themeColor="text1"/>
                <w:sz w:val="18"/>
                <w:szCs w:val="18"/>
              </w:rPr>
              <w:t>Disease severity</w:t>
            </w:r>
          </w:p>
        </w:tc>
        <w:tc>
          <w:tcPr>
            <w:tcW w:w="2250" w:type="dxa"/>
          </w:tcPr>
          <w:p w14:paraId="18D309EE" w14:textId="77777777" w:rsidR="00CF199A" w:rsidRPr="00A044E8" w:rsidRDefault="00CF199A" w:rsidP="00C52F0A">
            <w:pPr>
              <w:spacing w:line="276" w:lineRule="auto"/>
              <w:rPr>
                <w:rFonts w:eastAsiaTheme="minorEastAsia" w:cstheme="minorHAnsi"/>
                <w:i/>
                <w:iCs/>
                <w:color w:val="000000" w:themeColor="text1"/>
                <w:sz w:val="18"/>
                <w:szCs w:val="18"/>
              </w:rPr>
            </w:pPr>
          </w:p>
        </w:tc>
        <w:tc>
          <w:tcPr>
            <w:tcW w:w="2172" w:type="dxa"/>
            <w:gridSpan w:val="2"/>
          </w:tcPr>
          <w:p w14:paraId="73309CDD" w14:textId="77777777" w:rsidR="00CF199A" w:rsidRPr="00A044E8" w:rsidRDefault="00CF199A" w:rsidP="00C52F0A">
            <w:pPr>
              <w:spacing w:line="276" w:lineRule="auto"/>
              <w:rPr>
                <w:rFonts w:eastAsiaTheme="minorEastAsia" w:cstheme="minorHAnsi"/>
                <w:color w:val="000000" w:themeColor="text1"/>
                <w:sz w:val="18"/>
                <w:szCs w:val="18"/>
              </w:rPr>
            </w:pPr>
          </w:p>
        </w:tc>
        <w:tc>
          <w:tcPr>
            <w:tcW w:w="2238" w:type="dxa"/>
          </w:tcPr>
          <w:p w14:paraId="2AFECD56" w14:textId="77777777" w:rsidR="00CF199A" w:rsidRPr="00A044E8" w:rsidRDefault="00CF199A" w:rsidP="00C52F0A">
            <w:pPr>
              <w:pStyle w:val="ListParagraph"/>
              <w:spacing w:line="276" w:lineRule="auto"/>
              <w:ind w:left="144"/>
              <w:rPr>
                <w:rFonts w:eastAsiaTheme="minorEastAsia" w:cstheme="minorHAnsi"/>
                <w:color w:val="000000" w:themeColor="text1"/>
                <w:sz w:val="18"/>
                <w:szCs w:val="18"/>
              </w:rPr>
            </w:pPr>
          </w:p>
        </w:tc>
        <w:tc>
          <w:tcPr>
            <w:tcW w:w="2446" w:type="dxa"/>
            <w:gridSpan w:val="2"/>
          </w:tcPr>
          <w:p w14:paraId="0C182A3F" w14:textId="77777777" w:rsidR="00CF199A" w:rsidRPr="00A044E8" w:rsidRDefault="00CF199A" w:rsidP="00C52F0A">
            <w:pPr>
              <w:spacing w:line="276" w:lineRule="auto"/>
              <w:rPr>
                <w:rFonts w:eastAsiaTheme="minorEastAsia" w:cstheme="minorHAnsi"/>
                <w:color w:val="000000" w:themeColor="text1"/>
                <w:sz w:val="18"/>
                <w:szCs w:val="18"/>
              </w:rPr>
            </w:pPr>
            <w:r w:rsidRPr="00A044E8">
              <w:rPr>
                <w:rFonts w:eastAsiaTheme="minorEastAsia" w:cstheme="minorHAnsi"/>
                <w:color w:val="000000" w:themeColor="text1"/>
                <w:sz w:val="18"/>
                <w:szCs w:val="18"/>
              </w:rPr>
              <w:t>Staging according to Hoehn and Yahr (“important”)</w:t>
            </w:r>
          </w:p>
        </w:tc>
        <w:tc>
          <w:tcPr>
            <w:tcW w:w="2409" w:type="dxa"/>
          </w:tcPr>
          <w:p w14:paraId="161969BD" w14:textId="77777777" w:rsidR="00CF199A" w:rsidRPr="00A044E8" w:rsidRDefault="00CF199A" w:rsidP="00C52F0A">
            <w:pPr>
              <w:pStyle w:val="ListParagraph"/>
              <w:spacing w:line="276" w:lineRule="auto"/>
              <w:ind w:left="144"/>
              <w:rPr>
                <w:rFonts w:eastAsiaTheme="minorEastAsia" w:cstheme="minorHAnsi"/>
                <w:color w:val="000000" w:themeColor="text1"/>
                <w:sz w:val="18"/>
                <w:szCs w:val="18"/>
              </w:rPr>
            </w:pPr>
          </w:p>
        </w:tc>
      </w:tr>
      <w:tr w:rsidR="00CF199A" w:rsidRPr="00A044E8" w14:paraId="1FED70A5" w14:textId="77777777" w:rsidTr="00C52F0A">
        <w:tc>
          <w:tcPr>
            <w:tcW w:w="1435" w:type="dxa"/>
          </w:tcPr>
          <w:p w14:paraId="031C31FA" w14:textId="77777777" w:rsidR="00CF199A" w:rsidRPr="00A044E8" w:rsidRDefault="00CF199A" w:rsidP="00C52F0A">
            <w:pPr>
              <w:spacing w:line="276" w:lineRule="auto"/>
              <w:rPr>
                <w:rFonts w:eastAsiaTheme="minorEastAsia" w:cstheme="minorHAnsi"/>
                <w:color w:val="000000" w:themeColor="text1"/>
                <w:sz w:val="18"/>
                <w:szCs w:val="18"/>
              </w:rPr>
            </w:pPr>
            <w:r w:rsidRPr="00A044E8">
              <w:rPr>
                <w:rFonts w:eastAsiaTheme="minorEastAsia" w:cstheme="minorHAnsi"/>
                <w:color w:val="000000" w:themeColor="text1"/>
                <w:sz w:val="18"/>
                <w:szCs w:val="18"/>
              </w:rPr>
              <w:t>Global measures of motor symptom severity</w:t>
            </w:r>
          </w:p>
        </w:tc>
        <w:tc>
          <w:tcPr>
            <w:tcW w:w="2250" w:type="dxa"/>
          </w:tcPr>
          <w:p w14:paraId="6BB5FC8A" w14:textId="77777777" w:rsidR="00CF199A" w:rsidRPr="00A044E8" w:rsidRDefault="00CF199A" w:rsidP="00C52F0A">
            <w:pPr>
              <w:spacing w:line="276" w:lineRule="auto"/>
              <w:rPr>
                <w:rFonts w:eastAsiaTheme="minorEastAsia" w:cstheme="minorHAnsi"/>
                <w:color w:val="000000" w:themeColor="text1"/>
                <w:sz w:val="18"/>
                <w:szCs w:val="18"/>
              </w:rPr>
            </w:pPr>
            <w:r w:rsidRPr="00A044E8">
              <w:rPr>
                <w:rFonts w:eastAsiaTheme="minorEastAsia" w:cstheme="minorHAnsi"/>
                <w:i/>
                <w:iCs/>
                <w:color w:val="000000" w:themeColor="text1"/>
                <w:sz w:val="18"/>
                <w:szCs w:val="18"/>
              </w:rPr>
              <w:t>Discussed without reference to measurement method except for a single reference to UPDRS endpoints in a pharmaceutical treatment</w:t>
            </w:r>
          </w:p>
        </w:tc>
        <w:tc>
          <w:tcPr>
            <w:tcW w:w="2172" w:type="dxa"/>
            <w:gridSpan w:val="2"/>
          </w:tcPr>
          <w:p w14:paraId="3FA6273B" w14:textId="77777777" w:rsidR="00CF199A" w:rsidRPr="00A044E8" w:rsidRDefault="00CF199A" w:rsidP="00C52F0A">
            <w:pPr>
              <w:spacing w:line="276" w:lineRule="auto"/>
              <w:rPr>
                <w:rFonts w:eastAsiaTheme="minorEastAsia" w:cstheme="minorHAnsi"/>
                <w:i/>
                <w:iCs/>
                <w:color w:val="000000" w:themeColor="text1"/>
                <w:sz w:val="18"/>
                <w:szCs w:val="18"/>
              </w:rPr>
            </w:pPr>
            <w:r w:rsidRPr="00A044E8">
              <w:rPr>
                <w:rFonts w:eastAsiaTheme="minorEastAsia" w:cstheme="minorHAnsi"/>
                <w:color w:val="000000" w:themeColor="text1"/>
                <w:sz w:val="18"/>
                <w:szCs w:val="18"/>
              </w:rPr>
              <w:t xml:space="preserve">UPDRS </w:t>
            </w:r>
            <w:r w:rsidRPr="00A044E8">
              <w:rPr>
                <w:rFonts w:eastAsiaTheme="minorEastAsia" w:cstheme="minorHAnsi"/>
                <w:i/>
                <w:iCs/>
                <w:color w:val="000000" w:themeColor="text1"/>
                <w:sz w:val="18"/>
                <w:szCs w:val="18"/>
              </w:rPr>
              <w:t>(cited as a scale for purposes of assessing correlation with sensor measurements)</w:t>
            </w:r>
          </w:p>
        </w:tc>
        <w:tc>
          <w:tcPr>
            <w:tcW w:w="2238" w:type="dxa"/>
          </w:tcPr>
          <w:p w14:paraId="643BDEF8" w14:textId="77777777" w:rsidR="00CF199A" w:rsidRPr="00A044E8" w:rsidRDefault="00CF199A" w:rsidP="00CF199A">
            <w:pPr>
              <w:pStyle w:val="ListParagraph"/>
              <w:numPr>
                <w:ilvl w:val="0"/>
                <w:numId w:val="8"/>
              </w:numPr>
              <w:spacing w:line="276" w:lineRule="auto"/>
              <w:ind w:left="144" w:hanging="144"/>
              <w:rPr>
                <w:rFonts w:eastAsiaTheme="minorEastAsia" w:cstheme="minorHAnsi"/>
                <w:color w:val="000000" w:themeColor="text1"/>
                <w:sz w:val="18"/>
                <w:szCs w:val="18"/>
              </w:rPr>
            </w:pPr>
            <w:r w:rsidRPr="00A044E8">
              <w:rPr>
                <w:rFonts w:eastAsiaTheme="minorEastAsia" w:cstheme="minorHAnsi"/>
                <w:color w:val="000000" w:themeColor="text1"/>
                <w:sz w:val="18"/>
                <w:szCs w:val="18"/>
              </w:rPr>
              <w:t xml:space="preserve">UPDRS III </w:t>
            </w:r>
          </w:p>
          <w:p w14:paraId="67E5B672" w14:textId="77777777" w:rsidR="00CF199A" w:rsidRPr="00A044E8" w:rsidRDefault="00CF199A" w:rsidP="00CF199A">
            <w:pPr>
              <w:pStyle w:val="ListParagraph"/>
              <w:numPr>
                <w:ilvl w:val="0"/>
                <w:numId w:val="8"/>
              </w:numPr>
              <w:spacing w:line="276" w:lineRule="auto"/>
              <w:ind w:left="144" w:hanging="144"/>
              <w:rPr>
                <w:rFonts w:eastAsiaTheme="minorEastAsia" w:cstheme="minorHAnsi"/>
                <w:color w:val="000000" w:themeColor="text1"/>
                <w:sz w:val="18"/>
                <w:szCs w:val="18"/>
              </w:rPr>
            </w:pPr>
            <w:r w:rsidRPr="00A044E8">
              <w:rPr>
                <w:rFonts w:eastAsiaTheme="minorEastAsia" w:cstheme="minorHAnsi"/>
                <w:color w:val="000000" w:themeColor="text1"/>
                <w:sz w:val="18"/>
                <w:szCs w:val="18"/>
              </w:rPr>
              <w:t>Reduction in dopaminergic medications</w:t>
            </w:r>
          </w:p>
        </w:tc>
        <w:tc>
          <w:tcPr>
            <w:tcW w:w="2446" w:type="dxa"/>
            <w:gridSpan w:val="2"/>
          </w:tcPr>
          <w:p w14:paraId="729511E5" w14:textId="77777777" w:rsidR="00CF199A" w:rsidRPr="00A044E8" w:rsidRDefault="00CF199A" w:rsidP="00CF199A">
            <w:pPr>
              <w:pStyle w:val="ListParagraph"/>
              <w:numPr>
                <w:ilvl w:val="0"/>
                <w:numId w:val="8"/>
              </w:numPr>
              <w:spacing w:line="276" w:lineRule="auto"/>
              <w:ind w:left="144" w:hanging="144"/>
              <w:rPr>
                <w:rFonts w:eastAsiaTheme="minorEastAsia" w:cstheme="minorHAnsi"/>
                <w:color w:val="000000" w:themeColor="text1"/>
                <w:sz w:val="18"/>
                <w:szCs w:val="18"/>
              </w:rPr>
            </w:pPr>
            <w:r w:rsidRPr="00A044E8">
              <w:rPr>
                <w:rFonts w:eastAsiaTheme="minorEastAsia" w:cstheme="minorHAnsi"/>
                <w:color w:val="000000" w:themeColor="text1"/>
                <w:sz w:val="18"/>
                <w:szCs w:val="18"/>
              </w:rPr>
              <w:t>UPDRS III (“critical”)</w:t>
            </w:r>
          </w:p>
          <w:p w14:paraId="5BDC8044" w14:textId="77777777" w:rsidR="00CF199A" w:rsidRPr="00A044E8" w:rsidRDefault="00CF199A" w:rsidP="00CF199A">
            <w:pPr>
              <w:pStyle w:val="ListParagraph"/>
              <w:numPr>
                <w:ilvl w:val="0"/>
                <w:numId w:val="8"/>
              </w:numPr>
              <w:spacing w:line="276" w:lineRule="auto"/>
              <w:ind w:left="144" w:hanging="144"/>
              <w:rPr>
                <w:rFonts w:eastAsiaTheme="minorEastAsia" w:cstheme="minorHAnsi"/>
                <w:color w:val="000000" w:themeColor="text1"/>
                <w:sz w:val="18"/>
                <w:szCs w:val="18"/>
              </w:rPr>
            </w:pPr>
            <w:r w:rsidRPr="00A044E8">
              <w:rPr>
                <w:rFonts w:eastAsiaTheme="minorEastAsia" w:cstheme="minorHAnsi"/>
                <w:color w:val="000000" w:themeColor="text1"/>
                <w:sz w:val="18"/>
                <w:szCs w:val="18"/>
              </w:rPr>
              <w:t>Daily dosage of anti-PD  medication (levodopa mg equivalent) (“important”)</w:t>
            </w:r>
          </w:p>
        </w:tc>
        <w:tc>
          <w:tcPr>
            <w:tcW w:w="2409" w:type="dxa"/>
          </w:tcPr>
          <w:p w14:paraId="35319722" w14:textId="77777777" w:rsidR="00CF199A" w:rsidRPr="00A044E8" w:rsidRDefault="00CF199A" w:rsidP="00CF199A">
            <w:pPr>
              <w:pStyle w:val="ListParagraph"/>
              <w:numPr>
                <w:ilvl w:val="0"/>
                <w:numId w:val="8"/>
              </w:numPr>
              <w:spacing w:line="276" w:lineRule="auto"/>
              <w:ind w:left="144" w:hanging="144"/>
              <w:rPr>
                <w:rFonts w:eastAsiaTheme="minorEastAsia" w:cstheme="minorHAnsi"/>
                <w:color w:val="000000" w:themeColor="text1"/>
                <w:sz w:val="18"/>
                <w:szCs w:val="18"/>
              </w:rPr>
            </w:pPr>
            <w:r w:rsidRPr="00A044E8">
              <w:rPr>
                <w:rFonts w:eastAsiaTheme="minorEastAsia" w:cstheme="minorHAnsi"/>
                <w:color w:val="000000" w:themeColor="text1"/>
                <w:sz w:val="18"/>
                <w:szCs w:val="18"/>
              </w:rPr>
              <w:t xml:space="preserve">UPDRS III </w:t>
            </w:r>
          </w:p>
          <w:p w14:paraId="4A7FB271" w14:textId="77777777" w:rsidR="00CF199A" w:rsidRPr="00A044E8" w:rsidRDefault="00CF199A" w:rsidP="00C52F0A">
            <w:pPr>
              <w:spacing w:line="276" w:lineRule="auto"/>
              <w:rPr>
                <w:rFonts w:eastAsiaTheme="minorEastAsia" w:cstheme="minorHAnsi"/>
                <w:color w:val="000000" w:themeColor="text1"/>
                <w:sz w:val="18"/>
                <w:szCs w:val="18"/>
              </w:rPr>
            </w:pPr>
          </w:p>
        </w:tc>
      </w:tr>
      <w:tr w:rsidR="00CF199A" w:rsidRPr="00A044E8" w14:paraId="02FC1828" w14:textId="77777777" w:rsidTr="00C52F0A">
        <w:tc>
          <w:tcPr>
            <w:tcW w:w="1435" w:type="dxa"/>
          </w:tcPr>
          <w:p w14:paraId="73072A60" w14:textId="77777777" w:rsidR="00CF199A" w:rsidRPr="00A044E8" w:rsidRDefault="00CF199A" w:rsidP="00C52F0A">
            <w:pPr>
              <w:spacing w:line="276" w:lineRule="auto"/>
              <w:rPr>
                <w:rFonts w:eastAsiaTheme="minorEastAsia" w:cstheme="minorHAnsi"/>
                <w:color w:val="000000" w:themeColor="text1"/>
                <w:sz w:val="18"/>
                <w:szCs w:val="18"/>
              </w:rPr>
            </w:pPr>
            <w:r w:rsidRPr="00A044E8">
              <w:rPr>
                <w:rFonts w:eastAsia="Calibri" w:cstheme="minorHAnsi"/>
                <w:sz w:val="18"/>
                <w:szCs w:val="18"/>
              </w:rPr>
              <w:t xml:space="preserve">Specific aspects of motor function </w:t>
            </w:r>
          </w:p>
        </w:tc>
        <w:tc>
          <w:tcPr>
            <w:tcW w:w="2250" w:type="dxa"/>
          </w:tcPr>
          <w:p w14:paraId="74F1AD2B" w14:textId="77777777" w:rsidR="00CF199A" w:rsidRPr="00A044E8" w:rsidRDefault="00CF199A" w:rsidP="00C52F0A">
            <w:pPr>
              <w:spacing w:line="276" w:lineRule="auto"/>
              <w:rPr>
                <w:rFonts w:eastAsiaTheme="minorEastAsia" w:cstheme="minorHAnsi"/>
                <w:i/>
                <w:iCs/>
                <w:color w:val="000000" w:themeColor="text1"/>
                <w:sz w:val="18"/>
                <w:szCs w:val="18"/>
              </w:rPr>
            </w:pPr>
            <w:r w:rsidRPr="00A044E8">
              <w:rPr>
                <w:rFonts w:eastAsiaTheme="minorEastAsia" w:cstheme="minorHAnsi"/>
                <w:i/>
                <w:iCs/>
                <w:color w:val="000000" w:themeColor="text1"/>
                <w:sz w:val="18"/>
                <w:szCs w:val="18"/>
              </w:rPr>
              <w:t>Discussed without reference to measurement method; gait and balance are mentioned</w:t>
            </w:r>
          </w:p>
        </w:tc>
        <w:tc>
          <w:tcPr>
            <w:tcW w:w="2172" w:type="dxa"/>
            <w:gridSpan w:val="2"/>
          </w:tcPr>
          <w:p w14:paraId="768D340B" w14:textId="77777777" w:rsidR="00CF199A" w:rsidRPr="00A044E8" w:rsidRDefault="00CF199A" w:rsidP="00CF199A">
            <w:pPr>
              <w:pStyle w:val="ListParagraph"/>
              <w:numPr>
                <w:ilvl w:val="0"/>
                <w:numId w:val="8"/>
              </w:numPr>
              <w:spacing w:line="276" w:lineRule="auto"/>
              <w:ind w:left="144" w:hanging="144"/>
              <w:rPr>
                <w:rFonts w:eastAsiaTheme="minorEastAsia" w:cstheme="minorHAnsi"/>
                <w:color w:val="000000" w:themeColor="text1"/>
                <w:sz w:val="18"/>
                <w:szCs w:val="18"/>
              </w:rPr>
            </w:pPr>
            <w:r w:rsidRPr="00A044E8">
              <w:rPr>
                <w:rFonts w:eastAsiaTheme="minorEastAsia" w:cstheme="minorHAnsi"/>
                <w:color w:val="000000" w:themeColor="text1"/>
                <w:sz w:val="18"/>
                <w:szCs w:val="18"/>
              </w:rPr>
              <w:t xml:space="preserve">AIMS </w:t>
            </w:r>
            <w:r w:rsidRPr="00A044E8">
              <w:rPr>
                <w:rFonts w:eastAsiaTheme="minorEastAsia" w:cstheme="minorHAnsi"/>
                <w:i/>
                <w:iCs/>
                <w:color w:val="000000" w:themeColor="text1"/>
                <w:sz w:val="18"/>
                <w:szCs w:val="18"/>
              </w:rPr>
              <w:t>(cited as a scale for purposes of assessing correlation with sensor measurements)</w:t>
            </w:r>
          </w:p>
          <w:p w14:paraId="221279B7" w14:textId="450E477A" w:rsidR="00CF199A" w:rsidRPr="00A044E8" w:rsidRDefault="00CF199A" w:rsidP="00CF199A">
            <w:pPr>
              <w:pStyle w:val="ListParagraph"/>
              <w:numPr>
                <w:ilvl w:val="0"/>
                <w:numId w:val="8"/>
              </w:numPr>
              <w:spacing w:line="276" w:lineRule="auto"/>
              <w:ind w:left="144" w:hanging="144"/>
              <w:rPr>
                <w:rFonts w:eastAsiaTheme="minorEastAsia" w:cstheme="minorHAnsi"/>
                <w:color w:val="000000" w:themeColor="text1"/>
                <w:sz w:val="18"/>
                <w:szCs w:val="18"/>
              </w:rPr>
            </w:pPr>
            <w:r w:rsidRPr="00A044E8">
              <w:rPr>
                <w:rFonts w:eastAsiaTheme="minorEastAsia" w:cstheme="minorHAnsi"/>
                <w:color w:val="000000" w:themeColor="text1"/>
                <w:sz w:val="18"/>
                <w:szCs w:val="18"/>
              </w:rPr>
              <w:t xml:space="preserve">Measured by sensor: </w:t>
            </w:r>
            <w:proofErr w:type="spellStart"/>
            <w:r w:rsidR="009C2648" w:rsidRPr="00A044E8">
              <w:rPr>
                <w:rFonts w:eastAsiaTheme="minorEastAsia" w:cstheme="minorHAnsi"/>
                <w:color w:val="000000" w:themeColor="text1"/>
                <w:sz w:val="18"/>
                <w:szCs w:val="18"/>
              </w:rPr>
              <w:t>b</w:t>
            </w:r>
            <w:r w:rsidRPr="00A044E8">
              <w:rPr>
                <w:rFonts w:eastAsiaTheme="minorEastAsia" w:cstheme="minorHAnsi"/>
                <w:color w:val="000000" w:themeColor="text1"/>
                <w:sz w:val="18"/>
                <w:szCs w:val="18"/>
              </w:rPr>
              <w:t>rady</w:t>
            </w:r>
            <w:r w:rsidR="009C2648" w:rsidRPr="00A044E8">
              <w:rPr>
                <w:rFonts w:eastAsiaTheme="minorEastAsia" w:cstheme="minorHAnsi"/>
                <w:color w:val="000000" w:themeColor="text1"/>
                <w:sz w:val="18"/>
                <w:szCs w:val="18"/>
              </w:rPr>
              <w:t>s</w:t>
            </w:r>
            <w:r w:rsidRPr="00A044E8">
              <w:rPr>
                <w:rFonts w:eastAsiaTheme="minorEastAsia" w:cstheme="minorHAnsi"/>
                <w:color w:val="000000" w:themeColor="text1"/>
                <w:sz w:val="18"/>
                <w:szCs w:val="18"/>
              </w:rPr>
              <w:t>kinesia</w:t>
            </w:r>
            <w:proofErr w:type="spellEnd"/>
            <w:r w:rsidRPr="00A044E8">
              <w:rPr>
                <w:rFonts w:eastAsiaTheme="minorEastAsia" w:cstheme="minorHAnsi"/>
                <w:color w:val="000000" w:themeColor="text1"/>
                <w:sz w:val="18"/>
                <w:szCs w:val="18"/>
              </w:rPr>
              <w:t>, tremor, dyskinesia, immobility during sleep</w:t>
            </w:r>
          </w:p>
        </w:tc>
        <w:tc>
          <w:tcPr>
            <w:tcW w:w="2238" w:type="dxa"/>
          </w:tcPr>
          <w:p w14:paraId="39D434BA" w14:textId="77777777" w:rsidR="00CF199A" w:rsidRPr="00A044E8" w:rsidRDefault="00CF199A" w:rsidP="00C52F0A">
            <w:pPr>
              <w:spacing w:line="276" w:lineRule="auto"/>
              <w:rPr>
                <w:rFonts w:eastAsiaTheme="minorEastAsia" w:cstheme="minorHAnsi"/>
                <w:color w:val="000000" w:themeColor="text1"/>
                <w:sz w:val="18"/>
                <w:szCs w:val="18"/>
              </w:rPr>
            </w:pPr>
            <w:r w:rsidRPr="00A044E8">
              <w:rPr>
                <w:rFonts w:eastAsiaTheme="minorEastAsia" w:cstheme="minorHAnsi"/>
                <w:i/>
                <w:iCs/>
                <w:color w:val="000000" w:themeColor="text1"/>
                <w:sz w:val="18"/>
                <w:szCs w:val="18"/>
              </w:rPr>
              <w:t>Measurement methods not specified</w:t>
            </w:r>
          </w:p>
        </w:tc>
        <w:tc>
          <w:tcPr>
            <w:tcW w:w="2446" w:type="dxa"/>
            <w:gridSpan w:val="2"/>
          </w:tcPr>
          <w:p w14:paraId="1CF795D8" w14:textId="77777777" w:rsidR="00CF199A" w:rsidRPr="00A044E8" w:rsidRDefault="00CF199A" w:rsidP="00CF199A">
            <w:pPr>
              <w:pStyle w:val="ListParagraph"/>
              <w:numPr>
                <w:ilvl w:val="0"/>
                <w:numId w:val="8"/>
              </w:numPr>
              <w:spacing w:line="276" w:lineRule="auto"/>
              <w:ind w:left="144" w:hanging="144"/>
              <w:rPr>
                <w:rFonts w:eastAsiaTheme="minorEastAsia" w:cstheme="minorHAnsi"/>
                <w:color w:val="000000" w:themeColor="text1"/>
                <w:sz w:val="18"/>
                <w:szCs w:val="18"/>
              </w:rPr>
            </w:pPr>
            <w:r w:rsidRPr="00A044E8">
              <w:rPr>
                <w:rFonts w:eastAsiaTheme="minorEastAsia" w:cstheme="minorHAnsi"/>
                <w:color w:val="000000" w:themeColor="text1"/>
                <w:sz w:val="18"/>
                <w:szCs w:val="18"/>
              </w:rPr>
              <w:t>Gait (“important”)</w:t>
            </w:r>
          </w:p>
          <w:p w14:paraId="613C43E0" w14:textId="77777777" w:rsidR="00CF199A" w:rsidRPr="00A044E8" w:rsidRDefault="00CF199A" w:rsidP="00CF199A">
            <w:pPr>
              <w:pStyle w:val="ListParagraph"/>
              <w:numPr>
                <w:ilvl w:val="0"/>
                <w:numId w:val="8"/>
              </w:numPr>
              <w:spacing w:line="276" w:lineRule="auto"/>
              <w:ind w:left="144" w:hanging="144"/>
              <w:rPr>
                <w:rFonts w:eastAsiaTheme="minorEastAsia" w:cstheme="minorHAnsi"/>
                <w:color w:val="000000" w:themeColor="text1"/>
                <w:sz w:val="18"/>
                <w:szCs w:val="18"/>
              </w:rPr>
            </w:pPr>
            <w:r w:rsidRPr="00A044E8">
              <w:rPr>
                <w:rFonts w:eastAsiaTheme="minorEastAsia" w:cstheme="minorHAnsi"/>
                <w:color w:val="000000" w:themeColor="text1"/>
                <w:sz w:val="18"/>
                <w:szCs w:val="18"/>
              </w:rPr>
              <w:t>Speech (“important”)</w:t>
            </w:r>
          </w:p>
          <w:p w14:paraId="6004E25B" w14:textId="77777777" w:rsidR="00CF199A" w:rsidRPr="00A044E8" w:rsidRDefault="00CF199A" w:rsidP="00C52F0A">
            <w:pPr>
              <w:spacing w:line="276" w:lineRule="auto"/>
              <w:rPr>
                <w:rFonts w:eastAsiaTheme="minorEastAsia" w:cstheme="minorHAnsi"/>
                <w:i/>
                <w:iCs/>
                <w:color w:val="000000" w:themeColor="text1"/>
                <w:sz w:val="18"/>
                <w:szCs w:val="18"/>
              </w:rPr>
            </w:pPr>
            <w:r w:rsidRPr="00A044E8">
              <w:rPr>
                <w:rFonts w:eastAsiaTheme="minorEastAsia" w:cstheme="minorHAnsi"/>
                <w:i/>
                <w:iCs/>
                <w:color w:val="000000" w:themeColor="text1"/>
                <w:sz w:val="18"/>
                <w:szCs w:val="18"/>
              </w:rPr>
              <w:t>No tools recommended, but UPDRS III includes gait and speech scales.</w:t>
            </w:r>
          </w:p>
        </w:tc>
        <w:tc>
          <w:tcPr>
            <w:tcW w:w="2409" w:type="dxa"/>
          </w:tcPr>
          <w:p w14:paraId="366CB22C" w14:textId="77777777" w:rsidR="00CF199A" w:rsidRPr="00A044E8" w:rsidRDefault="00CF199A" w:rsidP="00C52F0A">
            <w:pPr>
              <w:spacing w:line="276" w:lineRule="auto"/>
              <w:rPr>
                <w:rFonts w:eastAsiaTheme="minorEastAsia" w:cstheme="minorHAnsi"/>
                <w:color w:val="000000" w:themeColor="text1"/>
                <w:sz w:val="18"/>
                <w:szCs w:val="18"/>
              </w:rPr>
            </w:pPr>
          </w:p>
        </w:tc>
      </w:tr>
      <w:tr w:rsidR="00AC72BB" w:rsidRPr="00A044E8" w14:paraId="62B5662B" w14:textId="77777777" w:rsidTr="004B64E4">
        <w:tc>
          <w:tcPr>
            <w:tcW w:w="1435" w:type="dxa"/>
          </w:tcPr>
          <w:p w14:paraId="0A66ACC0" w14:textId="7552B2EF" w:rsidR="00AC72BB" w:rsidRPr="00A044E8" w:rsidRDefault="00AC72BB" w:rsidP="004B64E4">
            <w:pPr>
              <w:spacing w:line="276" w:lineRule="auto"/>
              <w:rPr>
                <w:rFonts w:eastAsia="Calibri" w:cstheme="minorHAnsi"/>
                <w:sz w:val="18"/>
                <w:szCs w:val="18"/>
              </w:rPr>
            </w:pPr>
            <w:r w:rsidRPr="00A044E8">
              <w:rPr>
                <w:rFonts w:eastAsiaTheme="minorEastAsia" w:cstheme="minorHAnsi"/>
                <w:color w:val="000000" w:themeColor="text1"/>
                <w:sz w:val="18"/>
                <w:szCs w:val="18"/>
              </w:rPr>
              <w:t>Reduction in or delay of motor complications*</w:t>
            </w:r>
          </w:p>
        </w:tc>
        <w:tc>
          <w:tcPr>
            <w:tcW w:w="2250" w:type="dxa"/>
          </w:tcPr>
          <w:p w14:paraId="1FFDF2D5" w14:textId="77777777" w:rsidR="00AC72BB" w:rsidRPr="00A044E8" w:rsidRDefault="00AC72BB" w:rsidP="004B64E4">
            <w:pPr>
              <w:spacing w:line="276" w:lineRule="auto"/>
              <w:rPr>
                <w:rFonts w:eastAsiaTheme="minorEastAsia" w:cstheme="minorHAnsi"/>
                <w:color w:val="000000" w:themeColor="text1"/>
                <w:sz w:val="18"/>
                <w:szCs w:val="18"/>
              </w:rPr>
            </w:pPr>
            <w:r w:rsidRPr="00A044E8">
              <w:rPr>
                <w:rFonts w:eastAsiaTheme="minorEastAsia" w:cstheme="minorHAnsi"/>
                <w:i/>
                <w:iCs/>
                <w:color w:val="000000" w:themeColor="text1"/>
                <w:sz w:val="18"/>
                <w:szCs w:val="18"/>
              </w:rPr>
              <w:t>Discussed without reference to measurement method</w:t>
            </w:r>
          </w:p>
        </w:tc>
        <w:tc>
          <w:tcPr>
            <w:tcW w:w="2172" w:type="dxa"/>
            <w:gridSpan w:val="2"/>
          </w:tcPr>
          <w:p w14:paraId="6C5987E1" w14:textId="77777777" w:rsidR="00AC72BB" w:rsidRPr="00A044E8" w:rsidRDefault="00AC72BB" w:rsidP="004B64E4">
            <w:pPr>
              <w:spacing w:line="276" w:lineRule="auto"/>
              <w:rPr>
                <w:rFonts w:eastAsiaTheme="minorEastAsia" w:cstheme="minorHAnsi"/>
                <w:color w:val="000000" w:themeColor="text1"/>
                <w:sz w:val="18"/>
                <w:szCs w:val="18"/>
              </w:rPr>
            </w:pPr>
          </w:p>
        </w:tc>
        <w:tc>
          <w:tcPr>
            <w:tcW w:w="2238" w:type="dxa"/>
          </w:tcPr>
          <w:p w14:paraId="41BEACE9" w14:textId="77777777" w:rsidR="00AC72BB" w:rsidRPr="00A044E8" w:rsidRDefault="00AC72BB" w:rsidP="004B64E4">
            <w:pPr>
              <w:spacing w:line="276" w:lineRule="auto"/>
              <w:rPr>
                <w:rFonts w:eastAsiaTheme="minorEastAsia" w:cstheme="minorHAnsi"/>
                <w:color w:val="000000" w:themeColor="text1"/>
                <w:sz w:val="18"/>
                <w:szCs w:val="18"/>
              </w:rPr>
            </w:pPr>
            <w:r w:rsidRPr="00A044E8">
              <w:rPr>
                <w:rFonts w:eastAsiaTheme="minorEastAsia" w:cstheme="minorHAnsi"/>
                <w:i/>
                <w:iCs/>
                <w:color w:val="000000" w:themeColor="text1"/>
                <w:sz w:val="18"/>
                <w:szCs w:val="18"/>
              </w:rPr>
              <w:t>Discussed without reference to measurement method</w:t>
            </w:r>
          </w:p>
        </w:tc>
        <w:tc>
          <w:tcPr>
            <w:tcW w:w="2446" w:type="dxa"/>
            <w:gridSpan w:val="2"/>
          </w:tcPr>
          <w:p w14:paraId="4AFC4F52" w14:textId="77777777" w:rsidR="00AC72BB" w:rsidRPr="00A044E8" w:rsidRDefault="00AC72BB" w:rsidP="004B64E4">
            <w:pPr>
              <w:pStyle w:val="ListParagraph"/>
              <w:numPr>
                <w:ilvl w:val="0"/>
                <w:numId w:val="8"/>
              </w:numPr>
              <w:spacing w:line="276" w:lineRule="auto"/>
              <w:ind w:left="144" w:hanging="144"/>
              <w:rPr>
                <w:rFonts w:eastAsiaTheme="minorEastAsia" w:cstheme="minorHAnsi"/>
                <w:color w:val="000000" w:themeColor="text1"/>
                <w:sz w:val="18"/>
                <w:szCs w:val="18"/>
              </w:rPr>
            </w:pPr>
            <w:r w:rsidRPr="00A044E8">
              <w:rPr>
                <w:rFonts w:eastAsiaTheme="minorEastAsia" w:cstheme="minorHAnsi"/>
                <w:color w:val="000000" w:themeColor="text1"/>
                <w:sz w:val="18"/>
                <w:szCs w:val="18"/>
              </w:rPr>
              <w:t>According to UPDRS IV (“critical”)</w:t>
            </w:r>
          </w:p>
          <w:p w14:paraId="4C7BCD1D" w14:textId="77777777" w:rsidR="00AC72BB" w:rsidRPr="00A044E8" w:rsidRDefault="00AC72BB" w:rsidP="004B64E4">
            <w:pPr>
              <w:pStyle w:val="ListParagraph"/>
              <w:numPr>
                <w:ilvl w:val="0"/>
                <w:numId w:val="8"/>
              </w:numPr>
              <w:spacing w:line="276" w:lineRule="auto"/>
              <w:ind w:left="144" w:hanging="144"/>
              <w:rPr>
                <w:rFonts w:eastAsiaTheme="minorEastAsia" w:cstheme="minorHAnsi"/>
                <w:color w:val="000000" w:themeColor="text1"/>
                <w:sz w:val="18"/>
                <w:szCs w:val="18"/>
              </w:rPr>
            </w:pPr>
            <w:r w:rsidRPr="00A044E8">
              <w:rPr>
                <w:rFonts w:eastAsiaTheme="minorEastAsia" w:cstheme="minorHAnsi"/>
                <w:color w:val="000000" w:themeColor="text1"/>
                <w:sz w:val="18"/>
                <w:szCs w:val="18"/>
              </w:rPr>
              <w:t>Motor fluctuations reported by patient diary (“critical”)</w:t>
            </w:r>
          </w:p>
        </w:tc>
        <w:tc>
          <w:tcPr>
            <w:tcW w:w="2409" w:type="dxa"/>
          </w:tcPr>
          <w:p w14:paraId="4478A096" w14:textId="77777777" w:rsidR="00AC72BB" w:rsidRPr="00A044E8" w:rsidRDefault="00AC72BB" w:rsidP="004B64E4">
            <w:pPr>
              <w:spacing w:line="276" w:lineRule="auto"/>
              <w:rPr>
                <w:rFonts w:eastAsiaTheme="minorEastAsia" w:cstheme="minorHAnsi"/>
                <w:i/>
                <w:iCs/>
                <w:color w:val="000000" w:themeColor="text1"/>
                <w:sz w:val="18"/>
                <w:szCs w:val="18"/>
              </w:rPr>
            </w:pPr>
            <w:r w:rsidRPr="00A044E8">
              <w:rPr>
                <w:rFonts w:eastAsiaTheme="minorEastAsia" w:cstheme="minorHAnsi"/>
                <w:i/>
                <w:iCs/>
                <w:color w:val="000000" w:themeColor="text1"/>
                <w:sz w:val="18"/>
                <w:szCs w:val="18"/>
              </w:rPr>
              <w:t>Both reduction and delay are mentioned.</w:t>
            </w:r>
          </w:p>
        </w:tc>
      </w:tr>
      <w:tr w:rsidR="00CF199A" w:rsidRPr="00A044E8" w14:paraId="075E8DAC" w14:textId="77777777" w:rsidTr="00C52F0A">
        <w:tc>
          <w:tcPr>
            <w:tcW w:w="1435" w:type="dxa"/>
          </w:tcPr>
          <w:p w14:paraId="41B45379" w14:textId="77777777" w:rsidR="00CF199A" w:rsidRPr="00A044E8" w:rsidRDefault="00CF199A" w:rsidP="00C52F0A">
            <w:pPr>
              <w:spacing w:line="276" w:lineRule="auto"/>
              <w:rPr>
                <w:rFonts w:eastAsiaTheme="minorEastAsia" w:cstheme="minorHAnsi"/>
                <w:color w:val="000000" w:themeColor="text1"/>
                <w:sz w:val="18"/>
                <w:szCs w:val="18"/>
              </w:rPr>
            </w:pPr>
            <w:r w:rsidRPr="00A044E8">
              <w:rPr>
                <w:rFonts w:eastAsia="Calibri" w:cstheme="minorHAnsi"/>
                <w:sz w:val="18"/>
                <w:szCs w:val="18"/>
              </w:rPr>
              <w:t xml:space="preserve">Cognitive function </w:t>
            </w:r>
          </w:p>
        </w:tc>
        <w:tc>
          <w:tcPr>
            <w:tcW w:w="2250" w:type="dxa"/>
          </w:tcPr>
          <w:p w14:paraId="3DF3153C" w14:textId="77777777" w:rsidR="00CF199A" w:rsidRPr="00A044E8" w:rsidRDefault="00CF199A" w:rsidP="00C52F0A">
            <w:pPr>
              <w:spacing w:line="276" w:lineRule="auto"/>
              <w:rPr>
                <w:rFonts w:eastAsiaTheme="minorEastAsia" w:cstheme="minorHAnsi"/>
                <w:color w:val="000000" w:themeColor="text1"/>
                <w:sz w:val="18"/>
                <w:szCs w:val="18"/>
              </w:rPr>
            </w:pPr>
          </w:p>
        </w:tc>
        <w:tc>
          <w:tcPr>
            <w:tcW w:w="2172" w:type="dxa"/>
            <w:gridSpan w:val="2"/>
          </w:tcPr>
          <w:p w14:paraId="31827531" w14:textId="77777777" w:rsidR="00CF199A" w:rsidRPr="00A044E8" w:rsidRDefault="00CF199A" w:rsidP="00C52F0A">
            <w:pPr>
              <w:spacing w:line="276" w:lineRule="auto"/>
              <w:rPr>
                <w:rFonts w:eastAsiaTheme="minorEastAsia" w:cstheme="minorHAnsi"/>
                <w:color w:val="000000" w:themeColor="text1"/>
                <w:sz w:val="18"/>
                <w:szCs w:val="18"/>
              </w:rPr>
            </w:pPr>
          </w:p>
        </w:tc>
        <w:tc>
          <w:tcPr>
            <w:tcW w:w="2238" w:type="dxa"/>
          </w:tcPr>
          <w:p w14:paraId="74D69CD5" w14:textId="77777777" w:rsidR="00CF199A" w:rsidRPr="00A044E8" w:rsidRDefault="00CF199A" w:rsidP="00C52F0A">
            <w:pPr>
              <w:spacing w:line="276" w:lineRule="auto"/>
              <w:rPr>
                <w:rFonts w:eastAsiaTheme="minorEastAsia" w:cstheme="minorHAnsi"/>
                <w:color w:val="000000" w:themeColor="text1"/>
                <w:sz w:val="18"/>
                <w:szCs w:val="18"/>
              </w:rPr>
            </w:pPr>
          </w:p>
        </w:tc>
        <w:tc>
          <w:tcPr>
            <w:tcW w:w="2446" w:type="dxa"/>
            <w:gridSpan w:val="2"/>
          </w:tcPr>
          <w:p w14:paraId="684B94E2" w14:textId="77777777" w:rsidR="00CF199A" w:rsidRPr="00A044E8" w:rsidRDefault="00CF199A" w:rsidP="00C52F0A">
            <w:pPr>
              <w:spacing w:line="276" w:lineRule="auto"/>
              <w:rPr>
                <w:rFonts w:eastAsiaTheme="minorEastAsia" w:cstheme="minorHAnsi"/>
                <w:color w:val="000000" w:themeColor="text1"/>
                <w:sz w:val="18"/>
                <w:szCs w:val="18"/>
              </w:rPr>
            </w:pPr>
            <w:r w:rsidRPr="00A044E8">
              <w:rPr>
                <w:rFonts w:eastAsiaTheme="minorEastAsia" w:cstheme="minorHAnsi"/>
                <w:color w:val="000000" w:themeColor="text1"/>
                <w:sz w:val="18"/>
                <w:szCs w:val="18"/>
              </w:rPr>
              <w:t>UPDRS-I, MoCA, MMSE (“important”)</w:t>
            </w:r>
          </w:p>
        </w:tc>
        <w:tc>
          <w:tcPr>
            <w:tcW w:w="2409" w:type="dxa"/>
          </w:tcPr>
          <w:p w14:paraId="369B8588" w14:textId="77777777" w:rsidR="00CF199A" w:rsidRPr="00A044E8" w:rsidRDefault="00CF199A" w:rsidP="00C52F0A">
            <w:pPr>
              <w:spacing w:line="276" w:lineRule="auto"/>
              <w:rPr>
                <w:rFonts w:eastAsiaTheme="minorEastAsia" w:cstheme="minorHAnsi"/>
                <w:color w:val="000000" w:themeColor="text1"/>
                <w:sz w:val="18"/>
                <w:szCs w:val="18"/>
              </w:rPr>
            </w:pPr>
          </w:p>
        </w:tc>
      </w:tr>
      <w:tr w:rsidR="00CF199A" w:rsidRPr="00A044E8" w14:paraId="53D9D8D1" w14:textId="77777777" w:rsidTr="00C52F0A">
        <w:tc>
          <w:tcPr>
            <w:tcW w:w="1435" w:type="dxa"/>
          </w:tcPr>
          <w:p w14:paraId="516DBC1A" w14:textId="77777777" w:rsidR="00CF199A" w:rsidRPr="00A044E8" w:rsidRDefault="00CF199A" w:rsidP="00C52F0A">
            <w:pPr>
              <w:spacing w:line="276" w:lineRule="auto"/>
              <w:rPr>
                <w:rFonts w:eastAsia="Calibri" w:cstheme="minorHAnsi"/>
                <w:sz w:val="18"/>
                <w:szCs w:val="18"/>
              </w:rPr>
            </w:pPr>
            <w:r w:rsidRPr="00A044E8">
              <w:rPr>
                <w:rFonts w:eastAsia="Calibri" w:cstheme="minorHAnsi"/>
                <w:sz w:val="18"/>
                <w:szCs w:val="18"/>
              </w:rPr>
              <w:t xml:space="preserve">Mood and behavioral disorders </w:t>
            </w:r>
          </w:p>
        </w:tc>
        <w:tc>
          <w:tcPr>
            <w:tcW w:w="2250" w:type="dxa"/>
          </w:tcPr>
          <w:p w14:paraId="79D60942" w14:textId="77777777" w:rsidR="00CF199A" w:rsidRPr="00A044E8" w:rsidRDefault="00CF199A" w:rsidP="00C52F0A">
            <w:pPr>
              <w:spacing w:line="276" w:lineRule="auto"/>
              <w:rPr>
                <w:rFonts w:eastAsiaTheme="minorEastAsia" w:cstheme="minorHAnsi"/>
                <w:color w:val="000000" w:themeColor="text1"/>
                <w:sz w:val="18"/>
                <w:szCs w:val="18"/>
              </w:rPr>
            </w:pPr>
          </w:p>
        </w:tc>
        <w:tc>
          <w:tcPr>
            <w:tcW w:w="2172" w:type="dxa"/>
            <w:gridSpan w:val="2"/>
          </w:tcPr>
          <w:p w14:paraId="232E24AF" w14:textId="77777777" w:rsidR="00CF199A" w:rsidRPr="00A044E8" w:rsidRDefault="00CF199A" w:rsidP="00C52F0A">
            <w:pPr>
              <w:spacing w:line="276" w:lineRule="auto"/>
              <w:rPr>
                <w:rFonts w:eastAsiaTheme="minorEastAsia" w:cstheme="minorHAnsi"/>
                <w:color w:val="000000" w:themeColor="text1"/>
                <w:sz w:val="18"/>
                <w:szCs w:val="18"/>
              </w:rPr>
            </w:pPr>
            <w:r w:rsidRPr="00A044E8">
              <w:rPr>
                <w:rFonts w:eastAsiaTheme="minorEastAsia" w:cstheme="minorHAnsi"/>
                <w:color w:val="000000" w:themeColor="text1"/>
                <w:sz w:val="18"/>
                <w:szCs w:val="18"/>
              </w:rPr>
              <w:t xml:space="preserve">Risk marker for impulsivity measured by sensor (NOTE: This </w:t>
            </w:r>
            <w:proofErr w:type="gramStart"/>
            <w:r w:rsidRPr="00A044E8">
              <w:rPr>
                <w:rFonts w:eastAsiaTheme="minorEastAsia" w:cstheme="minorHAnsi"/>
                <w:color w:val="000000" w:themeColor="text1"/>
                <w:sz w:val="18"/>
                <w:szCs w:val="18"/>
              </w:rPr>
              <w:t>actually belongs</w:t>
            </w:r>
            <w:proofErr w:type="gramEnd"/>
            <w:r w:rsidRPr="00A044E8">
              <w:rPr>
                <w:rFonts w:eastAsiaTheme="minorEastAsia" w:cstheme="minorHAnsi"/>
                <w:color w:val="000000" w:themeColor="text1"/>
                <w:sz w:val="18"/>
                <w:szCs w:val="18"/>
              </w:rPr>
              <w:t xml:space="preserve"> in the Surrogate Marker domain.)</w:t>
            </w:r>
          </w:p>
        </w:tc>
        <w:tc>
          <w:tcPr>
            <w:tcW w:w="2238" w:type="dxa"/>
          </w:tcPr>
          <w:p w14:paraId="3C422338" w14:textId="77777777" w:rsidR="00CF199A" w:rsidRPr="00A044E8" w:rsidRDefault="00CF199A" w:rsidP="00C52F0A">
            <w:pPr>
              <w:spacing w:line="276" w:lineRule="auto"/>
              <w:rPr>
                <w:rFonts w:eastAsiaTheme="minorEastAsia" w:cstheme="minorHAnsi"/>
                <w:color w:val="000000" w:themeColor="text1"/>
                <w:sz w:val="18"/>
                <w:szCs w:val="18"/>
              </w:rPr>
            </w:pPr>
            <w:r w:rsidRPr="00A044E8">
              <w:rPr>
                <w:rFonts w:eastAsiaTheme="minorEastAsia" w:cstheme="minorHAnsi"/>
                <w:color w:val="000000" w:themeColor="text1"/>
                <w:sz w:val="18"/>
                <w:szCs w:val="18"/>
              </w:rPr>
              <w:t>Depression (HDRS)</w:t>
            </w:r>
          </w:p>
          <w:p w14:paraId="504DE66C" w14:textId="77777777" w:rsidR="00CF199A" w:rsidRPr="00A044E8" w:rsidRDefault="00CF199A" w:rsidP="00C52F0A">
            <w:pPr>
              <w:spacing w:line="276" w:lineRule="auto"/>
              <w:rPr>
                <w:rFonts w:eastAsiaTheme="minorEastAsia" w:cstheme="minorHAnsi"/>
                <w:color w:val="000000" w:themeColor="text1"/>
                <w:sz w:val="18"/>
                <w:szCs w:val="18"/>
              </w:rPr>
            </w:pPr>
            <w:r w:rsidRPr="00A044E8">
              <w:rPr>
                <w:rFonts w:eastAsiaTheme="minorEastAsia" w:cstheme="minorHAnsi"/>
                <w:color w:val="000000" w:themeColor="text1"/>
                <w:sz w:val="18"/>
                <w:szCs w:val="18"/>
              </w:rPr>
              <w:t>Suicidality (UPDRS-I)</w:t>
            </w:r>
          </w:p>
        </w:tc>
        <w:tc>
          <w:tcPr>
            <w:tcW w:w="2446" w:type="dxa"/>
            <w:gridSpan w:val="2"/>
          </w:tcPr>
          <w:p w14:paraId="578D9739" w14:textId="77777777" w:rsidR="00CF199A" w:rsidRPr="00A044E8" w:rsidRDefault="00CF199A" w:rsidP="00CF199A">
            <w:pPr>
              <w:pStyle w:val="ListParagraph"/>
              <w:numPr>
                <w:ilvl w:val="0"/>
                <w:numId w:val="8"/>
              </w:numPr>
              <w:spacing w:line="276" w:lineRule="auto"/>
              <w:ind w:left="144" w:hanging="144"/>
              <w:rPr>
                <w:rFonts w:eastAsiaTheme="minorEastAsia" w:cstheme="minorHAnsi"/>
                <w:color w:val="000000" w:themeColor="text1"/>
                <w:sz w:val="18"/>
                <w:szCs w:val="18"/>
              </w:rPr>
            </w:pPr>
            <w:r w:rsidRPr="00A044E8">
              <w:rPr>
                <w:rFonts w:eastAsiaTheme="minorEastAsia" w:cstheme="minorHAnsi"/>
                <w:color w:val="000000" w:themeColor="text1"/>
                <w:sz w:val="18"/>
                <w:szCs w:val="18"/>
              </w:rPr>
              <w:t>HDRS (“important”)</w:t>
            </w:r>
          </w:p>
          <w:p w14:paraId="6DEF4550" w14:textId="77777777" w:rsidR="00CF199A" w:rsidRPr="00A044E8" w:rsidRDefault="00CF199A" w:rsidP="00CF199A">
            <w:pPr>
              <w:pStyle w:val="ListParagraph"/>
              <w:numPr>
                <w:ilvl w:val="0"/>
                <w:numId w:val="8"/>
              </w:numPr>
              <w:spacing w:line="276" w:lineRule="auto"/>
              <w:ind w:left="144" w:hanging="144"/>
              <w:rPr>
                <w:rFonts w:eastAsiaTheme="minorEastAsia" w:cstheme="minorHAnsi"/>
                <w:color w:val="000000" w:themeColor="text1"/>
                <w:sz w:val="18"/>
                <w:szCs w:val="18"/>
              </w:rPr>
            </w:pPr>
            <w:r w:rsidRPr="00A044E8">
              <w:rPr>
                <w:rFonts w:eastAsiaTheme="minorEastAsia" w:cstheme="minorHAnsi"/>
                <w:color w:val="000000" w:themeColor="text1"/>
                <w:sz w:val="18"/>
                <w:szCs w:val="18"/>
              </w:rPr>
              <w:t>Apathy (“important”) (No tool recommended, but UPDRS III includes an apathy scale)</w:t>
            </w:r>
          </w:p>
          <w:p w14:paraId="0F430594" w14:textId="77777777" w:rsidR="00CF199A" w:rsidRPr="00A044E8" w:rsidRDefault="00CF199A" w:rsidP="00CF199A">
            <w:pPr>
              <w:pStyle w:val="ListParagraph"/>
              <w:numPr>
                <w:ilvl w:val="0"/>
                <w:numId w:val="8"/>
              </w:numPr>
              <w:spacing w:line="276" w:lineRule="auto"/>
              <w:ind w:left="144" w:hanging="144"/>
              <w:rPr>
                <w:rFonts w:eastAsiaTheme="minorEastAsia" w:cstheme="minorHAnsi"/>
                <w:color w:val="000000" w:themeColor="text1"/>
                <w:sz w:val="18"/>
                <w:szCs w:val="18"/>
              </w:rPr>
            </w:pPr>
            <w:r w:rsidRPr="00A044E8">
              <w:rPr>
                <w:rFonts w:eastAsiaTheme="minorEastAsia" w:cstheme="minorHAnsi"/>
                <w:color w:val="000000" w:themeColor="text1"/>
                <w:sz w:val="18"/>
                <w:szCs w:val="18"/>
              </w:rPr>
              <w:lastRenderedPageBreak/>
              <w:t>Ardouin-scale, QUIP, QUIP-RS, MIDI, BIS (“important”)</w:t>
            </w:r>
          </w:p>
        </w:tc>
        <w:tc>
          <w:tcPr>
            <w:tcW w:w="2409" w:type="dxa"/>
          </w:tcPr>
          <w:p w14:paraId="1939A774" w14:textId="77777777" w:rsidR="00CF199A" w:rsidRPr="00A044E8" w:rsidRDefault="00CF199A" w:rsidP="00C52F0A">
            <w:pPr>
              <w:spacing w:line="276" w:lineRule="auto"/>
              <w:rPr>
                <w:rFonts w:eastAsiaTheme="minorEastAsia" w:cstheme="minorHAnsi"/>
                <w:color w:val="000000" w:themeColor="text1"/>
                <w:sz w:val="18"/>
                <w:szCs w:val="18"/>
              </w:rPr>
            </w:pPr>
          </w:p>
        </w:tc>
      </w:tr>
      <w:tr w:rsidR="00CF199A" w:rsidRPr="00A044E8" w14:paraId="1B91BE50" w14:textId="77777777" w:rsidTr="00C52F0A">
        <w:tc>
          <w:tcPr>
            <w:tcW w:w="1435" w:type="dxa"/>
          </w:tcPr>
          <w:p w14:paraId="675FB54C" w14:textId="77777777" w:rsidR="00CF199A" w:rsidRPr="00A044E8" w:rsidRDefault="00CF199A" w:rsidP="00C52F0A">
            <w:pPr>
              <w:spacing w:line="276" w:lineRule="auto"/>
              <w:rPr>
                <w:rFonts w:eastAsia="Calibri" w:cstheme="minorHAnsi"/>
                <w:sz w:val="18"/>
                <w:szCs w:val="18"/>
              </w:rPr>
            </w:pPr>
            <w:r w:rsidRPr="00A044E8">
              <w:rPr>
                <w:rFonts w:eastAsia="Calibri" w:cstheme="minorHAnsi"/>
                <w:sz w:val="18"/>
                <w:szCs w:val="18"/>
              </w:rPr>
              <w:t>Composite of mood, cognitive, and behavioral effects</w:t>
            </w:r>
          </w:p>
        </w:tc>
        <w:tc>
          <w:tcPr>
            <w:tcW w:w="2250" w:type="dxa"/>
          </w:tcPr>
          <w:p w14:paraId="5DBB099C" w14:textId="77777777" w:rsidR="00CF199A" w:rsidRPr="00A044E8" w:rsidRDefault="00CF199A" w:rsidP="00C52F0A">
            <w:pPr>
              <w:spacing w:line="276" w:lineRule="auto"/>
              <w:rPr>
                <w:rFonts w:eastAsiaTheme="minorEastAsia" w:cstheme="minorHAnsi"/>
                <w:color w:val="000000" w:themeColor="text1"/>
                <w:sz w:val="18"/>
                <w:szCs w:val="18"/>
              </w:rPr>
            </w:pPr>
          </w:p>
        </w:tc>
        <w:tc>
          <w:tcPr>
            <w:tcW w:w="2172" w:type="dxa"/>
            <w:gridSpan w:val="2"/>
          </w:tcPr>
          <w:p w14:paraId="6B6CA02D" w14:textId="77777777" w:rsidR="00CF199A" w:rsidRPr="00A044E8" w:rsidRDefault="00CF199A" w:rsidP="00C52F0A">
            <w:pPr>
              <w:spacing w:line="276" w:lineRule="auto"/>
              <w:rPr>
                <w:rFonts w:eastAsiaTheme="minorEastAsia" w:cstheme="minorHAnsi"/>
                <w:color w:val="000000" w:themeColor="text1"/>
                <w:sz w:val="18"/>
                <w:szCs w:val="18"/>
              </w:rPr>
            </w:pPr>
          </w:p>
        </w:tc>
        <w:tc>
          <w:tcPr>
            <w:tcW w:w="2238" w:type="dxa"/>
          </w:tcPr>
          <w:p w14:paraId="4149DDE0" w14:textId="77777777" w:rsidR="00CF199A" w:rsidRPr="00A044E8" w:rsidRDefault="00CF199A" w:rsidP="00C52F0A">
            <w:pPr>
              <w:spacing w:line="276" w:lineRule="auto"/>
              <w:rPr>
                <w:rFonts w:eastAsiaTheme="minorEastAsia" w:cstheme="minorHAnsi"/>
                <w:i/>
                <w:iCs/>
                <w:color w:val="000000" w:themeColor="text1"/>
                <w:sz w:val="18"/>
                <w:szCs w:val="18"/>
              </w:rPr>
            </w:pPr>
            <w:r w:rsidRPr="00A044E8">
              <w:rPr>
                <w:rFonts w:eastAsiaTheme="minorEastAsia" w:cstheme="minorHAnsi"/>
                <w:i/>
                <w:iCs/>
                <w:color w:val="000000" w:themeColor="text1"/>
                <w:sz w:val="18"/>
                <w:szCs w:val="18"/>
              </w:rPr>
              <w:t>Measurement methods not specified</w:t>
            </w:r>
          </w:p>
        </w:tc>
        <w:tc>
          <w:tcPr>
            <w:tcW w:w="2446" w:type="dxa"/>
            <w:gridSpan w:val="2"/>
          </w:tcPr>
          <w:p w14:paraId="49D1BA35" w14:textId="77777777" w:rsidR="00CF199A" w:rsidRPr="00A044E8" w:rsidRDefault="00CF199A" w:rsidP="00C52F0A">
            <w:pPr>
              <w:spacing w:line="276" w:lineRule="auto"/>
              <w:rPr>
                <w:rFonts w:eastAsiaTheme="minorEastAsia" w:cstheme="minorHAnsi"/>
                <w:color w:val="000000" w:themeColor="text1"/>
                <w:sz w:val="18"/>
                <w:szCs w:val="18"/>
              </w:rPr>
            </w:pPr>
          </w:p>
        </w:tc>
        <w:tc>
          <w:tcPr>
            <w:tcW w:w="2409" w:type="dxa"/>
          </w:tcPr>
          <w:p w14:paraId="0DE1694F" w14:textId="77777777" w:rsidR="00CF199A" w:rsidRPr="00A044E8" w:rsidRDefault="00CF199A" w:rsidP="00C52F0A">
            <w:pPr>
              <w:spacing w:line="276" w:lineRule="auto"/>
              <w:rPr>
                <w:rFonts w:eastAsiaTheme="minorEastAsia" w:cstheme="minorHAnsi"/>
                <w:color w:val="000000" w:themeColor="text1"/>
                <w:sz w:val="18"/>
                <w:szCs w:val="18"/>
              </w:rPr>
            </w:pPr>
          </w:p>
        </w:tc>
      </w:tr>
      <w:tr w:rsidR="00CF199A" w:rsidRPr="00A044E8" w14:paraId="436D1AC2" w14:textId="77777777" w:rsidTr="00C52F0A">
        <w:tc>
          <w:tcPr>
            <w:tcW w:w="1435" w:type="dxa"/>
          </w:tcPr>
          <w:p w14:paraId="413EC8E5" w14:textId="32A430D8" w:rsidR="00CF199A" w:rsidRPr="00A044E8" w:rsidRDefault="002E5E30" w:rsidP="00C52F0A">
            <w:pPr>
              <w:spacing w:line="276" w:lineRule="auto"/>
              <w:rPr>
                <w:rFonts w:eastAsia="Calibri" w:cstheme="minorHAnsi"/>
                <w:sz w:val="18"/>
                <w:szCs w:val="18"/>
              </w:rPr>
            </w:pPr>
            <w:r w:rsidRPr="00A044E8">
              <w:rPr>
                <w:rFonts w:eastAsia="Calibri" w:cstheme="minorHAnsi"/>
                <w:sz w:val="18"/>
                <w:szCs w:val="18"/>
              </w:rPr>
              <w:t xml:space="preserve">Motor-related </w:t>
            </w:r>
            <w:r w:rsidR="00CF199A" w:rsidRPr="00A044E8">
              <w:rPr>
                <w:rFonts w:eastAsia="Calibri" w:cstheme="minorHAnsi"/>
                <w:sz w:val="18"/>
                <w:szCs w:val="18"/>
              </w:rPr>
              <w:t xml:space="preserve">ADL </w:t>
            </w:r>
          </w:p>
          <w:p w14:paraId="20ADDE1F" w14:textId="77777777" w:rsidR="00CF199A" w:rsidRPr="00A044E8" w:rsidRDefault="00CF199A" w:rsidP="00C52F0A">
            <w:pPr>
              <w:spacing w:line="276" w:lineRule="auto"/>
              <w:rPr>
                <w:rFonts w:eastAsiaTheme="minorEastAsia" w:cstheme="minorHAnsi"/>
                <w:color w:val="000000" w:themeColor="text1"/>
                <w:sz w:val="18"/>
                <w:szCs w:val="18"/>
              </w:rPr>
            </w:pPr>
          </w:p>
        </w:tc>
        <w:tc>
          <w:tcPr>
            <w:tcW w:w="2250" w:type="dxa"/>
          </w:tcPr>
          <w:p w14:paraId="492F1870" w14:textId="77777777" w:rsidR="00CF199A" w:rsidRPr="00A044E8" w:rsidRDefault="00CF199A" w:rsidP="00C52F0A">
            <w:pPr>
              <w:spacing w:line="276" w:lineRule="auto"/>
              <w:rPr>
                <w:rFonts w:eastAsiaTheme="minorEastAsia" w:cstheme="minorHAnsi"/>
                <w:color w:val="000000" w:themeColor="text1"/>
                <w:sz w:val="18"/>
                <w:szCs w:val="18"/>
              </w:rPr>
            </w:pPr>
          </w:p>
        </w:tc>
        <w:tc>
          <w:tcPr>
            <w:tcW w:w="2172" w:type="dxa"/>
            <w:gridSpan w:val="2"/>
          </w:tcPr>
          <w:p w14:paraId="2EC95DF9" w14:textId="77777777" w:rsidR="00CF199A" w:rsidRPr="00A044E8" w:rsidRDefault="00CF199A" w:rsidP="00C52F0A">
            <w:pPr>
              <w:spacing w:line="276" w:lineRule="auto"/>
              <w:rPr>
                <w:rFonts w:eastAsiaTheme="minorEastAsia" w:cstheme="minorHAnsi"/>
                <w:color w:val="000000" w:themeColor="text1"/>
                <w:sz w:val="18"/>
                <w:szCs w:val="18"/>
              </w:rPr>
            </w:pPr>
          </w:p>
        </w:tc>
        <w:tc>
          <w:tcPr>
            <w:tcW w:w="2238" w:type="dxa"/>
          </w:tcPr>
          <w:p w14:paraId="7E26F8C3" w14:textId="77777777" w:rsidR="00CF199A" w:rsidRPr="00A044E8" w:rsidRDefault="00CF199A" w:rsidP="00C52F0A">
            <w:pPr>
              <w:spacing w:line="276" w:lineRule="auto"/>
              <w:rPr>
                <w:rFonts w:eastAsiaTheme="minorEastAsia" w:cstheme="minorHAnsi"/>
                <w:color w:val="000000" w:themeColor="text1"/>
                <w:sz w:val="18"/>
                <w:szCs w:val="18"/>
              </w:rPr>
            </w:pPr>
            <w:r w:rsidRPr="00A044E8">
              <w:rPr>
                <w:rFonts w:eastAsiaTheme="minorEastAsia" w:cstheme="minorHAnsi"/>
                <w:color w:val="000000" w:themeColor="text1"/>
                <w:sz w:val="18"/>
                <w:szCs w:val="18"/>
              </w:rPr>
              <w:t>UPDRS-II</w:t>
            </w:r>
          </w:p>
        </w:tc>
        <w:tc>
          <w:tcPr>
            <w:tcW w:w="2446" w:type="dxa"/>
            <w:gridSpan w:val="2"/>
          </w:tcPr>
          <w:p w14:paraId="382252D7" w14:textId="77777777" w:rsidR="00CF199A" w:rsidRPr="00A044E8" w:rsidRDefault="00CF199A" w:rsidP="00C52F0A">
            <w:pPr>
              <w:tabs>
                <w:tab w:val="left" w:pos="1060"/>
              </w:tabs>
              <w:spacing w:line="276" w:lineRule="auto"/>
              <w:rPr>
                <w:rFonts w:eastAsiaTheme="minorEastAsia" w:cstheme="minorHAnsi"/>
                <w:color w:val="000000" w:themeColor="text1"/>
                <w:sz w:val="18"/>
                <w:szCs w:val="18"/>
              </w:rPr>
            </w:pPr>
            <w:r w:rsidRPr="00A044E8">
              <w:rPr>
                <w:rFonts w:eastAsiaTheme="minorEastAsia" w:cstheme="minorHAnsi"/>
                <w:color w:val="000000" w:themeColor="text1"/>
                <w:sz w:val="18"/>
                <w:szCs w:val="18"/>
              </w:rPr>
              <w:t>UPDRS-II (“critical”)</w:t>
            </w:r>
          </w:p>
        </w:tc>
        <w:tc>
          <w:tcPr>
            <w:tcW w:w="2409" w:type="dxa"/>
          </w:tcPr>
          <w:p w14:paraId="17D0E1A4" w14:textId="77777777" w:rsidR="00CF199A" w:rsidRPr="00A044E8" w:rsidRDefault="00CF199A" w:rsidP="00C52F0A">
            <w:pPr>
              <w:spacing w:line="276" w:lineRule="auto"/>
              <w:rPr>
                <w:rFonts w:eastAsiaTheme="minorEastAsia" w:cstheme="minorHAnsi"/>
                <w:color w:val="000000" w:themeColor="text1"/>
                <w:sz w:val="18"/>
                <w:szCs w:val="18"/>
              </w:rPr>
            </w:pPr>
            <w:r w:rsidRPr="00A044E8">
              <w:rPr>
                <w:rFonts w:eastAsiaTheme="minorEastAsia" w:cstheme="minorHAnsi"/>
                <w:color w:val="000000" w:themeColor="text1"/>
                <w:sz w:val="18"/>
                <w:szCs w:val="18"/>
              </w:rPr>
              <w:t xml:space="preserve">UPDRS-II </w:t>
            </w:r>
          </w:p>
        </w:tc>
      </w:tr>
      <w:tr w:rsidR="00CF199A" w:rsidRPr="00A044E8" w14:paraId="143466BD" w14:textId="77777777" w:rsidTr="00C52F0A">
        <w:tc>
          <w:tcPr>
            <w:tcW w:w="12950" w:type="dxa"/>
            <w:gridSpan w:val="8"/>
            <w:shd w:val="clear" w:color="auto" w:fill="9CC2E5" w:themeFill="accent5" w:themeFillTint="99"/>
            <w:vAlign w:val="center"/>
          </w:tcPr>
          <w:p w14:paraId="4BA85792" w14:textId="77777777" w:rsidR="00CF199A" w:rsidRPr="00A044E8" w:rsidRDefault="00CF199A" w:rsidP="00C52F0A">
            <w:pPr>
              <w:spacing w:line="276" w:lineRule="auto"/>
              <w:rPr>
                <w:rFonts w:eastAsiaTheme="minorEastAsia" w:cstheme="minorHAnsi"/>
                <w:b/>
                <w:bCs/>
                <w:color w:val="000000" w:themeColor="text1"/>
                <w:sz w:val="18"/>
                <w:szCs w:val="18"/>
              </w:rPr>
            </w:pPr>
            <w:r w:rsidRPr="00A044E8">
              <w:rPr>
                <w:rFonts w:eastAsiaTheme="minorEastAsia" w:cstheme="minorHAnsi"/>
                <w:b/>
                <w:bCs/>
                <w:color w:val="000000" w:themeColor="text1"/>
                <w:sz w:val="18"/>
                <w:szCs w:val="18"/>
              </w:rPr>
              <w:t>Patient-Reported Health Outcomes</w:t>
            </w:r>
          </w:p>
        </w:tc>
      </w:tr>
      <w:tr w:rsidR="00CF199A" w:rsidRPr="00A044E8" w14:paraId="1B02A390" w14:textId="77777777" w:rsidTr="00C52F0A">
        <w:tc>
          <w:tcPr>
            <w:tcW w:w="1435" w:type="dxa"/>
          </w:tcPr>
          <w:p w14:paraId="39562D50" w14:textId="77777777" w:rsidR="00CF199A" w:rsidRPr="00A044E8" w:rsidRDefault="00CF199A" w:rsidP="00C52F0A">
            <w:pPr>
              <w:spacing w:line="276" w:lineRule="auto"/>
              <w:rPr>
                <w:rFonts w:eastAsia="Calibri" w:cstheme="minorHAnsi"/>
                <w:sz w:val="18"/>
                <w:szCs w:val="18"/>
              </w:rPr>
            </w:pPr>
            <w:r w:rsidRPr="00A044E8">
              <w:rPr>
                <w:rFonts w:eastAsia="Calibri" w:cstheme="minorHAnsi"/>
                <w:sz w:val="18"/>
                <w:szCs w:val="18"/>
              </w:rPr>
              <w:t>QoL</w:t>
            </w:r>
          </w:p>
        </w:tc>
        <w:tc>
          <w:tcPr>
            <w:tcW w:w="2250" w:type="dxa"/>
          </w:tcPr>
          <w:p w14:paraId="3A1528EF" w14:textId="77777777" w:rsidR="00CF199A" w:rsidRPr="00A044E8" w:rsidRDefault="00CF199A" w:rsidP="00C52F0A">
            <w:pPr>
              <w:spacing w:line="276" w:lineRule="auto"/>
              <w:rPr>
                <w:rFonts w:eastAsiaTheme="minorEastAsia" w:cstheme="minorHAnsi"/>
                <w:color w:val="000000" w:themeColor="text1"/>
                <w:sz w:val="18"/>
                <w:szCs w:val="18"/>
              </w:rPr>
            </w:pPr>
          </w:p>
        </w:tc>
        <w:tc>
          <w:tcPr>
            <w:tcW w:w="2172" w:type="dxa"/>
            <w:gridSpan w:val="2"/>
          </w:tcPr>
          <w:p w14:paraId="58D02E9E" w14:textId="77777777" w:rsidR="00CF199A" w:rsidRPr="00A044E8" w:rsidRDefault="00CF199A" w:rsidP="00C52F0A">
            <w:pPr>
              <w:spacing w:line="276" w:lineRule="auto"/>
              <w:rPr>
                <w:rFonts w:eastAsiaTheme="minorEastAsia" w:cstheme="minorHAnsi"/>
                <w:color w:val="000000" w:themeColor="text1"/>
                <w:sz w:val="18"/>
                <w:szCs w:val="18"/>
              </w:rPr>
            </w:pPr>
            <w:r w:rsidRPr="00A044E8">
              <w:rPr>
                <w:rFonts w:eastAsiaTheme="minorEastAsia" w:cstheme="minorHAnsi"/>
                <w:i/>
                <w:iCs/>
                <w:color w:val="000000" w:themeColor="text1"/>
                <w:sz w:val="18"/>
                <w:szCs w:val="18"/>
              </w:rPr>
              <w:t xml:space="preserve">Assumed to improve under continuous assessment  </w:t>
            </w:r>
          </w:p>
        </w:tc>
        <w:tc>
          <w:tcPr>
            <w:tcW w:w="2238" w:type="dxa"/>
          </w:tcPr>
          <w:p w14:paraId="45993C6A" w14:textId="77777777" w:rsidR="00CF199A" w:rsidRPr="00A044E8" w:rsidRDefault="00CF199A" w:rsidP="00C52F0A">
            <w:pPr>
              <w:spacing w:line="276" w:lineRule="auto"/>
              <w:rPr>
                <w:rFonts w:eastAsiaTheme="minorEastAsia" w:cstheme="minorHAnsi"/>
                <w:color w:val="000000" w:themeColor="text1"/>
                <w:sz w:val="18"/>
                <w:szCs w:val="18"/>
              </w:rPr>
            </w:pPr>
            <w:r w:rsidRPr="00A044E8">
              <w:rPr>
                <w:rFonts w:eastAsiaTheme="minorEastAsia" w:cstheme="minorHAnsi"/>
                <w:color w:val="000000" w:themeColor="text1"/>
                <w:sz w:val="18"/>
                <w:szCs w:val="18"/>
              </w:rPr>
              <w:t xml:space="preserve">PDQ-39 </w:t>
            </w:r>
          </w:p>
        </w:tc>
        <w:tc>
          <w:tcPr>
            <w:tcW w:w="2446" w:type="dxa"/>
            <w:gridSpan w:val="2"/>
          </w:tcPr>
          <w:p w14:paraId="22AF8042" w14:textId="77777777" w:rsidR="00CF199A" w:rsidRPr="00A044E8" w:rsidRDefault="00CF199A" w:rsidP="00C52F0A">
            <w:pPr>
              <w:spacing w:line="276" w:lineRule="auto"/>
              <w:rPr>
                <w:rFonts w:eastAsiaTheme="minorEastAsia" w:cstheme="minorHAnsi"/>
                <w:color w:val="000000" w:themeColor="text1"/>
                <w:sz w:val="18"/>
                <w:szCs w:val="18"/>
              </w:rPr>
            </w:pPr>
            <w:r w:rsidRPr="00A044E8">
              <w:rPr>
                <w:rFonts w:eastAsiaTheme="minorEastAsia" w:cstheme="minorHAnsi"/>
                <w:color w:val="000000" w:themeColor="text1"/>
                <w:sz w:val="18"/>
                <w:szCs w:val="18"/>
              </w:rPr>
              <w:t>PDQ-39 or PDQ-8 (“critical”)</w:t>
            </w:r>
          </w:p>
        </w:tc>
        <w:tc>
          <w:tcPr>
            <w:tcW w:w="2409" w:type="dxa"/>
          </w:tcPr>
          <w:p w14:paraId="41D81DF9" w14:textId="77777777" w:rsidR="00CF199A" w:rsidRPr="00A044E8" w:rsidRDefault="00CF199A" w:rsidP="00C52F0A">
            <w:pPr>
              <w:spacing w:line="276" w:lineRule="auto"/>
              <w:rPr>
                <w:rFonts w:eastAsiaTheme="minorEastAsia" w:cstheme="minorHAnsi"/>
                <w:color w:val="000000" w:themeColor="text1"/>
                <w:sz w:val="18"/>
                <w:szCs w:val="18"/>
              </w:rPr>
            </w:pPr>
          </w:p>
        </w:tc>
      </w:tr>
      <w:tr w:rsidR="00CF199A" w:rsidRPr="00A044E8" w14:paraId="42AF9DF9" w14:textId="77777777" w:rsidTr="00C52F0A">
        <w:tc>
          <w:tcPr>
            <w:tcW w:w="1435" w:type="dxa"/>
          </w:tcPr>
          <w:p w14:paraId="4F499770" w14:textId="77777777" w:rsidR="00CF199A" w:rsidRPr="00A044E8" w:rsidRDefault="00CF199A" w:rsidP="00C52F0A">
            <w:pPr>
              <w:spacing w:line="276" w:lineRule="auto"/>
              <w:rPr>
                <w:rFonts w:eastAsia="Calibri" w:cstheme="minorHAnsi"/>
                <w:sz w:val="18"/>
                <w:szCs w:val="18"/>
              </w:rPr>
            </w:pPr>
            <w:r w:rsidRPr="00A044E8">
              <w:rPr>
                <w:rFonts w:eastAsia="Calibri" w:cstheme="minorHAnsi"/>
                <w:sz w:val="18"/>
                <w:szCs w:val="18"/>
              </w:rPr>
              <w:t xml:space="preserve">Mood and behavioral disorders </w:t>
            </w:r>
          </w:p>
        </w:tc>
        <w:tc>
          <w:tcPr>
            <w:tcW w:w="2250" w:type="dxa"/>
          </w:tcPr>
          <w:p w14:paraId="55439281" w14:textId="77777777" w:rsidR="00CF199A" w:rsidRPr="00A044E8" w:rsidRDefault="00CF199A" w:rsidP="00C52F0A">
            <w:pPr>
              <w:spacing w:line="276" w:lineRule="auto"/>
              <w:rPr>
                <w:rFonts w:eastAsiaTheme="minorEastAsia" w:cstheme="minorHAnsi"/>
                <w:color w:val="000000" w:themeColor="text1"/>
                <w:sz w:val="18"/>
                <w:szCs w:val="18"/>
              </w:rPr>
            </w:pPr>
          </w:p>
        </w:tc>
        <w:tc>
          <w:tcPr>
            <w:tcW w:w="2172" w:type="dxa"/>
            <w:gridSpan w:val="2"/>
          </w:tcPr>
          <w:p w14:paraId="1C585182" w14:textId="77777777" w:rsidR="00CF199A" w:rsidRPr="00A044E8" w:rsidRDefault="00CF199A" w:rsidP="00C52F0A">
            <w:pPr>
              <w:spacing w:line="276" w:lineRule="auto"/>
              <w:rPr>
                <w:rFonts w:eastAsiaTheme="minorEastAsia" w:cstheme="minorHAnsi"/>
                <w:color w:val="000000" w:themeColor="text1"/>
                <w:sz w:val="18"/>
                <w:szCs w:val="18"/>
              </w:rPr>
            </w:pPr>
          </w:p>
        </w:tc>
        <w:tc>
          <w:tcPr>
            <w:tcW w:w="2238" w:type="dxa"/>
          </w:tcPr>
          <w:p w14:paraId="033B9842" w14:textId="77777777" w:rsidR="00CF199A" w:rsidRPr="00A044E8" w:rsidRDefault="00CF199A" w:rsidP="00C52F0A">
            <w:pPr>
              <w:spacing w:line="276" w:lineRule="auto"/>
              <w:rPr>
                <w:rFonts w:eastAsiaTheme="minorEastAsia" w:cstheme="minorHAnsi"/>
                <w:color w:val="000000" w:themeColor="text1"/>
                <w:sz w:val="18"/>
                <w:szCs w:val="18"/>
              </w:rPr>
            </w:pPr>
            <w:r w:rsidRPr="00A044E8">
              <w:rPr>
                <w:rFonts w:eastAsiaTheme="minorEastAsia" w:cstheme="minorHAnsi"/>
                <w:color w:val="000000" w:themeColor="text1"/>
                <w:sz w:val="18"/>
                <w:szCs w:val="18"/>
              </w:rPr>
              <w:t>Depression (BDI)</w:t>
            </w:r>
          </w:p>
        </w:tc>
        <w:tc>
          <w:tcPr>
            <w:tcW w:w="2446" w:type="dxa"/>
            <w:gridSpan w:val="2"/>
          </w:tcPr>
          <w:p w14:paraId="204CE004" w14:textId="77777777" w:rsidR="00CF199A" w:rsidRPr="00A044E8" w:rsidRDefault="00CF199A" w:rsidP="00C52F0A">
            <w:pPr>
              <w:spacing w:line="276" w:lineRule="auto"/>
              <w:rPr>
                <w:rFonts w:eastAsiaTheme="minorEastAsia" w:cstheme="minorHAnsi"/>
                <w:color w:val="000000" w:themeColor="text1"/>
                <w:sz w:val="18"/>
                <w:szCs w:val="18"/>
              </w:rPr>
            </w:pPr>
            <w:r w:rsidRPr="00A044E8">
              <w:rPr>
                <w:rFonts w:eastAsiaTheme="minorEastAsia" w:cstheme="minorHAnsi"/>
                <w:color w:val="000000" w:themeColor="text1"/>
                <w:sz w:val="18"/>
                <w:szCs w:val="18"/>
              </w:rPr>
              <w:t>Depression (BDI) (“important”)</w:t>
            </w:r>
          </w:p>
          <w:p w14:paraId="403AAA3C" w14:textId="77777777" w:rsidR="00CF199A" w:rsidRPr="00A044E8" w:rsidRDefault="00CF199A" w:rsidP="00C52F0A">
            <w:pPr>
              <w:spacing w:line="276" w:lineRule="auto"/>
              <w:rPr>
                <w:rFonts w:eastAsiaTheme="minorEastAsia" w:cstheme="minorHAnsi"/>
                <w:color w:val="000000" w:themeColor="text1"/>
                <w:sz w:val="18"/>
                <w:szCs w:val="18"/>
              </w:rPr>
            </w:pPr>
          </w:p>
        </w:tc>
        <w:tc>
          <w:tcPr>
            <w:tcW w:w="2409" w:type="dxa"/>
          </w:tcPr>
          <w:p w14:paraId="25A193CB" w14:textId="77777777" w:rsidR="00CF199A" w:rsidRPr="00A044E8" w:rsidRDefault="00CF199A" w:rsidP="00C52F0A">
            <w:pPr>
              <w:spacing w:line="276" w:lineRule="auto"/>
              <w:rPr>
                <w:rFonts w:eastAsiaTheme="minorEastAsia" w:cstheme="minorHAnsi"/>
                <w:color w:val="000000" w:themeColor="text1"/>
                <w:sz w:val="18"/>
                <w:szCs w:val="18"/>
              </w:rPr>
            </w:pPr>
          </w:p>
        </w:tc>
      </w:tr>
      <w:tr w:rsidR="00CF199A" w:rsidRPr="00A044E8" w14:paraId="3CA419AB" w14:textId="77777777" w:rsidTr="00C52F0A">
        <w:tc>
          <w:tcPr>
            <w:tcW w:w="1435" w:type="dxa"/>
          </w:tcPr>
          <w:p w14:paraId="3387D42F" w14:textId="77777777" w:rsidR="00CF199A" w:rsidRPr="00A044E8" w:rsidRDefault="00CF199A" w:rsidP="00C52F0A">
            <w:pPr>
              <w:spacing w:line="276" w:lineRule="auto"/>
              <w:rPr>
                <w:rFonts w:eastAsia="Calibri" w:cstheme="minorHAnsi"/>
                <w:sz w:val="18"/>
                <w:szCs w:val="18"/>
              </w:rPr>
            </w:pPr>
            <w:r w:rsidRPr="00A044E8">
              <w:rPr>
                <w:rFonts w:eastAsia="Calibri" w:cstheme="minorHAnsi"/>
                <w:sz w:val="18"/>
                <w:szCs w:val="18"/>
              </w:rPr>
              <w:t>Other</w:t>
            </w:r>
          </w:p>
        </w:tc>
        <w:tc>
          <w:tcPr>
            <w:tcW w:w="2250" w:type="dxa"/>
          </w:tcPr>
          <w:p w14:paraId="7CE3E936" w14:textId="77777777" w:rsidR="00CF199A" w:rsidRPr="00A044E8" w:rsidRDefault="00CF199A" w:rsidP="00C52F0A">
            <w:pPr>
              <w:spacing w:line="276" w:lineRule="auto"/>
              <w:rPr>
                <w:rFonts w:eastAsiaTheme="minorEastAsia" w:cstheme="minorHAnsi"/>
                <w:i/>
                <w:iCs/>
                <w:color w:val="000000" w:themeColor="text1"/>
                <w:sz w:val="18"/>
                <w:szCs w:val="18"/>
              </w:rPr>
            </w:pPr>
            <w:r w:rsidRPr="00A044E8">
              <w:rPr>
                <w:rFonts w:eastAsiaTheme="minorEastAsia" w:cstheme="minorHAnsi"/>
                <w:i/>
                <w:iCs/>
                <w:color w:val="000000" w:themeColor="text1"/>
                <w:sz w:val="18"/>
                <w:szCs w:val="18"/>
              </w:rPr>
              <w:t>Reduction in falls (mentioned in the context of pharmaceutical treatment and physical therapy)</w:t>
            </w:r>
          </w:p>
        </w:tc>
        <w:tc>
          <w:tcPr>
            <w:tcW w:w="2172" w:type="dxa"/>
            <w:gridSpan w:val="2"/>
          </w:tcPr>
          <w:p w14:paraId="4E76AA29" w14:textId="77777777" w:rsidR="00CF199A" w:rsidRPr="00A044E8" w:rsidRDefault="00CF199A" w:rsidP="00C52F0A">
            <w:pPr>
              <w:spacing w:line="276" w:lineRule="auto"/>
              <w:rPr>
                <w:rFonts w:eastAsiaTheme="minorEastAsia" w:cstheme="minorHAnsi"/>
                <w:color w:val="000000" w:themeColor="text1"/>
                <w:sz w:val="18"/>
                <w:szCs w:val="18"/>
              </w:rPr>
            </w:pPr>
          </w:p>
        </w:tc>
        <w:tc>
          <w:tcPr>
            <w:tcW w:w="2238" w:type="dxa"/>
          </w:tcPr>
          <w:p w14:paraId="396AD650" w14:textId="77777777" w:rsidR="00CF199A" w:rsidRPr="00A044E8" w:rsidRDefault="00CF199A" w:rsidP="00C52F0A">
            <w:pPr>
              <w:spacing w:line="276" w:lineRule="auto"/>
              <w:rPr>
                <w:rFonts w:eastAsiaTheme="minorEastAsia" w:cstheme="minorHAnsi"/>
                <w:color w:val="000000" w:themeColor="text1"/>
                <w:sz w:val="18"/>
                <w:szCs w:val="18"/>
              </w:rPr>
            </w:pPr>
          </w:p>
        </w:tc>
        <w:tc>
          <w:tcPr>
            <w:tcW w:w="2446" w:type="dxa"/>
            <w:gridSpan w:val="2"/>
          </w:tcPr>
          <w:p w14:paraId="52AC98B9" w14:textId="77777777" w:rsidR="00CF199A" w:rsidRPr="00A044E8" w:rsidRDefault="00CF199A" w:rsidP="00C52F0A">
            <w:pPr>
              <w:spacing w:line="276" w:lineRule="auto"/>
              <w:rPr>
                <w:rFonts w:eastAsiaTheme="minorEastAsia" w:cstheme="minorHAnsi"/>
                <w:color w:val="000000" w:themeColor="text1"/>
                <w:sz w:val="18"/>
                <w:szCs w:val="18"/>
              </w:rPr>
            </w:pPr>
          </w:p>
        </w:tc>
        <w:tc>
          <w:tcPr>
            <w:tcW w:w="2409" w:type="dxa"/>
          </w:tcPr>
          <w:p w14:paraId="426BCCFF" w14:textId="77777777" w:rsidR="00CF199A" w:rsidRPr="00A044E8" w:rsidRDefault="00CF199A" w:rsidP="00C52F0A">
            <w:pPr>
              <w:spacing w:line="276" w:lineRule="auto"/>
              <w:rPr>
                <w:rFonts w:eastAsiaTheme="minorEastAsia" w:cstheme="minorHAnsi"/>
                <w:color w:val="000000" w:themeColor="text1"/>
                <w:sz w:val="18"/>
                <w:szCs w:val="18"/>
              </w:rPr>
            </w:pPr>
          </w:p>
        </w:tc>
      </w:tr>
      <w:tr w:rsidR="00CF199A" w:rsidRPr="00A044E8" w14:paraId="198DB81C" w14:textId="77777777" w:rsidTr="00C52F0A">
        <w:tc>
          <w:tcPr>
            <w:tcW w:w="12950" w:type="dxa"/>
            <w:gridSpan w:val="8"/>
            <w:shd w:val="clear" w:color="auto" w:fill="9CC2E5" w:themeFill="accent5" w:themeFillTint="99"/>
            <w:vAlign w:val="center"/>
          </w:tcPr>
          <w:p w14:paraId="7E799673" w14:textId="77777777" w:rsidR="00CF199A" w:rsidRPr="00A044E8" w:rsidRDefault="00CF199A" w:rsidP="00C52F0A">
            <w:pPr>
              <w:spacing w:line="276" w:lineRule="auto"/>
              <w:rPr>
                <w:rFonts w:eastAsiaTheme="minorEastAsia" w:cstheme="minorHAnsi"/>
                <w:b/>
                <w:bCs/>
                <w:color w:val="000000" w:themeColor="text1"/>
                <w:sz w:val="18"/>
                <w:szCs w:val="18"/>
              </w:rPr>
            </w:pPr>
            <w:r w:rsidRPr="00A044E8">
              <w:rPr>
                <w:rFonts w:eastAsiaTheme="minorEastAsia" w:cstheme="minorHAnsi"/>
                <w:b/>
                <w:bCs/>
                <w:color w:val="000000" w:themeColor="text1"/>
                <w:sz w:val="18"/>
                <w:szCs w:val="18"/>
              </w:rPr>
              <w:t>Safety (clinician-assessed or patient-reported)</w:t>
            </w:r>
          </w:p>
        </w:tc>
      </w:tr>
      <w:tr w:rsidR="00CF199A" w:rsidRPr="00A044E8" w14:paraId="3E3DD5BC" w14:textId="77777777" w:rsidTr="00C52F0A">
        <w:tc>
          <w:tcPr>
            <w:tcW w:w="1435" w:type="dxa"/>
          </w:tcPr>
          <w:p w14:paraId="6CDCC73C" w14:textId="12ED9C98" w:rsidR="00CF199A" w:rsidRPr="00A044E8" w:rsidRDefault="008F5D8D" w:rsidP="00C52F0A">
            <w:pPr>
              <w:spacing w:line="276" w:lineRule="auto"/>
              <w:rPr>
                <w:rFonts w:eastAsiaTheme="minorEastAsia" w:cstheme="minorHAnsi"/>
                <w:color w:val="000000" w:themeColor="text1"/>
                <w:sz w:val="18"/>
                <w:szCs w:val="18"/>
              </w:rPr>
            </w:pPr>
            <w:r w:rsidRPr="00A044E8">
              <w:rPr>
                <w:rFonts w:eastAsiaTheme="minorEastAsia" w:cstheme="minorHAnsi"/>
                <w:color w:val="000000" w:themeColor="text1"/>
                <w:sz w:val="18"/>
                <w:szCs w:val="18"/>
              </w:rPr>
              <w:t>Harmful effects</w:t>
            </w:r>
          </w:p>
        </w:tc>
        <w:tc>
          <w:tcPr>
            <w:tcW w:w="2250" w:type="dxa"/>
          </w:tcPr>
          <w:p w14:paraId="6CD44A6C" w14:textId="77777777" w:rsidR="00CF199A" w:rsidRPr="00A044E8" w:rsidRDefault="00CF199A" w:rsidP="00CF199A">
            <w:pPr>
              <w:pStyle w:val="ListParagraph"/>
              <w:numPr>
                <w:ilvl w:val="0"/>
                <w:numId w:val="8"/>
              </w:numPr>
              <w:spacing w:line="276" w:lineRule="auto"/>
              <w:ind w:left="144" w:hanging="144"/>
              <w:rPr>
                <w:rFonts w:eastAsiaTheme="minorEastAsia" w:cstheme="minorHAnsi"/>
                <w:color w:val="000000" w:themeColor="text1"/>
                <w:sz w:val="18"/>
                <w:szCs w:val="18"/>
              </w:rPr>
            </w:pPr>
            <w:r w:rsidRPr="00A044E8">
              <w:rPr>
                <w:rFonts w:eastAsiaTheme="minorEastAsia" w:cstheme="minorHAnsi"/>
                <w:color w:val="000000" w:themeColor="text1"/>
                <w:sz w:val="18"/>
                <w:szCs w:val="18"/>
              </w:rPr>
              <w:t xml:space="preserve">“Acceptable risk with/without specialized monitoring” </w:t>
            </w:r>
            <w:r w:rsidRPr="00A044E8">
              <w:rPr>
                <w:rFonts w:eastAsiaTheme="minorEastAsia" w:cstheme="minorHAnsi"/>
                <w:i/>
                <w:iCs/>
                <w:color w:val="000000" w:themeColor="text1"/>
                <w:sz w:val="18"/>
                <w:szCs w:val="18"/>
              </w:rPr>
              <w:t>(no identification of specific risks to be considered)</w:t>
            </w:r>
          </w:p>
          <w:p w14:paraId="2737F45E" w14:textId="77777777" w:rsidR="00CF199A" w:rsidRPr="00A044E8" w:rsidRDefault="00CF199A" w:rsidP="00CF199A">
            <w:pPr>
              <w:pStyle w:val="ListParagraph"/>
              <w:numPr>
                <w:ilvl w:val="0"/>
                <w:numId w:val="8"/>
              </w:numPr>
              <w:spacing w:line="276" w:lineRule="auto"/>
              <w:ind w:left="144" w:hanging="144"/>
              <w:rPr>
                <w:rFonts w:eastAsiaTheme="minorEastAsia" w:cstheme="minorHAnsi"/>
                <w:color w:val="000000" w:themeColor="text1"/>
                <w:sz w:val="18"/>
                <w:szCs w:val="18"/>
              </w:rPr>
            </w:pPr>
            <w:r w:rsidRPr="00A044E8">
              <w:rPr>
                <w:rFonts w:eastAsiaTheme="minorEastAsia" w:cstheme="minorHAnsi"/>
                <w:color w:val="000000" w:themeColor="text1"/>
                <w:sz w:val="18"/>
                <w:szCs w:val="18"/>
              </w:rPr>
              <w:t xml:space="preserve">Unacceptable risk </w:t>
            </w:r>
          </w:p>
        </w:tc>
        <w:tc>
          <w:tcPr>
            <w:tcW w:w="2172" w:type="dxa"/>
            <w:gridSpan w:val="2"/>
          </w:tcPr>
          <w:p w14:paraId="28A6799D" w14:textId="77777777" w:rsidR="00CF199A" w:rsidRPr="00A044E8" w:rsidRDefault="00CF199A" w:rsidP="00C52F0A">
            <w:pPr>
              <w:spacing w:line="276" w:lineRule="auto"/>
              <w:rPr>
                <w:rFonts w:eastAsiaTheme="minorEastAsia" w:cstheme="minorHAnsi"/>
                <w:color w:val="000000" w:themeColor="text1"/>
                <w:sz w:val="18"/>
                <w:szCs w:val="18"/>
              </w:rPr>
            </w:pPr>
          </w:p>
        </w:tc>
        <w:tc>
          <w:tcPr>
            <w:tcW w:w="2238" w:type="dxa"/>
          </w:tcPr>
          <w:p w14:paraId="1594501C" w14:textId="77777777" w:rsidR="00CF199A" w:rsidRPr="00A044E8" w:rsidRDefault="00CF199A" w:rsidP="00C52F0A">
            <w:pPr>
              <w:spacing w:line="276" w:lineRule="auto"/>
              <w:rPr>
                <w:rFonts w:eastAsiaTheme="minorEastAsia" w:cstheme="minorHAnsi"/>
                <w:color w:val="000000" w:themeColor="text1"/>
                <w:sz w:val="18"/>
                <w:szCs w:val="18"/>
              </w:rPr>
            </w:pPr>
            <w:r w:rsidRPr="00A044E8">
              <w:rPr>
                <w:rFonts w:eastAsiaTheme="minorEastAsia" w:cstheme="minorHAnsi"/>
                <w:color w:val="000000" w:themeColor="text1"/>
                <w:sz w:val="18"/>
                <w:szCs w:val="18"/>
              </w:rPr>
              <w:t>Adverse events</w:t>
            </w:r>
          </w:p>
        </w:tc>
        <w:tc>
          <w:tcPr>
            <w:tcW w:w="2446" w:type="dxa"/>
            <w:gridSpan w:val="2"/>
          </w:tcPr>
          <w:p w14:paraId="75D1EE01" w14:textId="77777777" w:rsidR="00CF199A" w:rsidRPr="00A044E8" w:rsidRDefault="00CF199A" w:rsidP="00C52F0A">
            <w:pPr>
              <w:spacing w:line="276" w:lineRule="auto"/>
              <w:rPr>
                <w:rFonts w:eastAsiaTheme="minorEastAsia" w:cstheme="minorHAnsi"/>
                <w:color w:val="000000" w:themeColor="text1"/>
                <w:sz w:val="18"/>
                <w:szCs w:val="18"/>
              </w:rPr>
            </w:pPr>
            <w:r w:rsidRPr="00A044E8">
              <w:rPr>
                <w:rFonts w:eastAsiaTheme="minorEastAsia" w:cstheme="minorHAnsi"/>
                <w:color w:val="000000" w:themeColor="text1"/>
                <w:sz w:val="18"/>
                <w:szCs w:val="18"/>
              </w:rPr>
              <w:t>Serious adverse medical and surgical events (“critical”)</w:t>
            </w:r>
          </w:p>
          <w:p w14:paraId="11A4802C" w14:textId="77777777" w:rsidR="00CF199A" w:rsidRPr="00A044E8" w:rsidRDefault="00CF199A" w:rsidP="00C52F0A">
            <w:pPr>
              <w:spacing w:line="276" w:lineRule="auto"/>
              <w:rPr>
                <w:rFonts w:eastAsiaTheme="minorEastAsia" w:cstheme="minorHAnsi"/>
                <w:color w:val="000000" w:themeColor="text1"/>
                <w:sz w:val="18"/>
                <w:szCs w:val="18"/>
              </w:rPr>
            </w:pPr>
          </w:p>
        </w:tc>
        <w:tc>
          <w:tcPr>
            <w:tcW w:w="2409" w:type="dxa"/>
          </w:tcPr>
          <w:p w14:paraId="6ED5C95C" w14:textId="77777777" w:rsidR="00CF199A" w:rsidRPr="00A044E8" w:rsidRDefault="00CF199A" w:rsidP="00C52F0A">
            <w:pPr>
              <w:spacing w:line="276" w:lineRule="auto"/>
              <w:rPr>
                <w:rFonts w:eastAsiaTheme="minorEastAsia" w:cstheme="minorHAnsi"/>
                <w:color w:val="000000" w:themeColor="text1"/>
                <w:sz w:val="18"/>
                <w:szCs w:val="18"/>
              </w:rPr>
            </w:pPr>
            <w:r w:rsidRPr="00A044E8">
              <w:rPr>
                <w:rFonts w:eastAsiaTheme="minorEastAsia" w:cstheme="minorHAnsi"/>
                <w:color w:val="000000" w:themeColor="text1"/>
                <w:sz w:val="18"/>
                <w:szCs w:val="18"/>
              </w:rPr>
              <w:t>Discontinuation of treatment (tolerability)</w:t>
            </w:r>
          </w:p>
          <w:p w14:paraId="1A9AC32A" w14:textId="77777777" w:rsidR="00CF199A" w:rsidRPr="00A044E8" w:rsidRDefault="00CF199A" w:rsidP="00C52F0A">
            <w:pPr>
              <w:spacing w:line="276" w:lineRule="auto"/>
              <w:rPr>
                <w:rFonts w:eastAsiaTheme="minorEastAsia" w:cstheme="minorHAnsi"/>
                <w:color w:val="000000" w:themeColor="text1"/>
                <w:sz w:val="18"/>
                <w:szCs w:val="18"/>
              </w:rPr>
            </w:pPr>
          </w:p>
        </w:tc>
      </w:tr>
      <w:tr w:rsidR="00CF199A" w:rsidRPr="00A044E8" w14:paraId="7E71297B" w14:textId="77777777" w:rsidTr="00C52F0A">
        <w:tc>
          <w:tcPr>
            <w:tcW w:w="12950" w:type="dxa"/>
            <w:gridSpan w:val="8"/>
            <w:shd w:val="clear" w:color="auto" w:fill="9CC2E5" w:themeFill="accent5" w:themeFillTint="99"/>
            <w:vAlign w:val="center"/>
          </w:tcPr>
          <w:p w14:paraId="653D5EF7" w14:textId="77777777" w:rsidR="00CF199A" w:rsidRPr="00A044E8" w:rsidRDefault="00CF199A" w:rsidP="00C52F0A">
            <w:pPr>
              <w:spacing w:line="276" w:lineRule="auto"/>
              <w:rPr>
                <w:rFonts w:eastAsiaTheme="minorEastAsia" w:cstheme="minorHAnsi"/>
                <w:b/>
                <w:bCs/>
                <w:color w:val="000000" w:themeColor="text1"/>
                <w:sz w:val="18"/>
                <w:szCs w:val="18"/>
              </w:rPr>
            </w:pPr>
            <w:r w:rsidRPr="00A044E8">
              <w:rPr>
                <w:rFonts w:eastAsiaTheme="minorEastAsia" w:cstheme="minorHAnsi"/>
                <w:b/>
                <w:bCs/>
                <w:color w:val="000000" w:themeColor="text1"/>
                <w:sz w:val="18"/>
                <w:szCs w:val="18"/>
              </w:rPr>
              <w:t>Other</w:t>
            </w:r>
          </w:p>
        </w:tc>
      </w:tr>
      <w:tr w:rsidR="00CF199A" w:rsidRPr="00A044E8" w14:paraId="778F44D3" w14:textId="77777777" w:rsidTr="00C52F0A">
        <w:tc>
          <w:tcPr>
            <w:tcW w:w="1435" w:type="dxa"/>
            <w:vAlign w:val="center"/>
          </w:tcPr>
          <w:p w14:paraId="56514845" w14:textId="77777777" w:rsidR="00CF199A" w:rsidRPr="00A044E8" w:rsidRDefault="00CF199A" w:rsidP="00C52F0A">
            <w:pPr>
              <w:spacing w:line="276" w:lineRule="auto"/>
              <w:rPr>
                <w:rFonts w:eastAsiaTheme="minorEastAsia" w:cstheme="minorHAnsi"/>
                <w:color w:val="000000" w:themeColor="text1"/>
                <w:sz w:val="18"/>
                <w:szCs w:val="18"/>
              </w:rPr>
            </w:pPr>
          </w:p>
        </w:tc>
        <w:tc>
          <w:tcPr>
            <w:tcW w:w="2250" w:type="dxa"/>
            <w:vAlign w:val="center"/>
          </w:tcPr>
          <w:p w14:paraId="074E7130" w14:textId="77777777" w:rsidR="00CF199A" w:rsidRPr="00A044E8" w:rsidRDefault="00CF199A" w:rsidP="00C52F0A">
            <w:pPr>
              <w:spacing w:line="276" w:lineRule="auto"/>
              <w:rPr>
                <w:rFonts w:eastAsiaTheme="minorEastAsia" w:cstheme="minorHAnsi"/>
                <w:b/>
                <w:bCs/>
                <w:color w:val="000000" w:themeColor="text1"/>
                <w:sz w:val="18"/>
                <w:szCs w:val="18"/>
              </w:rPr>
            </w:pPr>
          </w:p>
        </w:tc>
        <w:tc>
          <w:tcPr>
            <w:tcW w:w="2160" w:type="dxa"/>
            <w:vAlign w:val="center"/>
          </w:tcPr>
          <w:p w14:paraId="6758E40D" w14:textId="77777777" w:rsidR="00CF199A" w:rsidRPr="00A044E8" w:rsidRDefault="00CF199A" w:rsidP="00C52F0A">
            <w:pPr>
              <w:spacing w:line="276" w:lineRule="auto"/>
              <w:rPr>
                <w:rFonts w:eastAsiaTheme="minorEastAsia" w:cstheme="minorHAnsi"/>
                <w:b/>
                <w:bCs/>
                <w:color w:val="000000" w:themeColor="text1"/>
                <w:sz w:val="18"/>
                <w:szCs w:val="18"/>
              </w:rPr>
            </w:pPr>
          </w:p>
        </w:tc>
        <w:tc>
          <w:tcPr>
            <w:tcW w:w="2250" w:type="dxa"/>
            <w:gridSpan w:val="2"/>
            <w:vAlign w:val="center"/>
          </w:tcPr>
          <w:p w14:paraId="5831A79B" w14:textId="77777777" w:rsidR="00CF199A" w:rsidRPr="00A044E8" w:rsidRDefault="00CF199A" w:rsidP="00C52F0A">
            <w:pPr>
              <w:spacing w:line="276" w:lineRule="auto"/>
              <w:rPr>
                <w:rFonts w:eastAsiaTheme="minorEastAsia" w:cstheme="minorHAnsi"/>
                <w:b/>
                <w:bCs/>
                <w:color w:val="000000" w:themeColor="text1"/>
                <w:sz w:val="18"/>
                <w:szCs w:val="18"/>
              </w:rPr>
            </w:pPr>
          </w:p>
        </w:tc>
        <w:tc>
          <w:tcPr>
            <w:tcW w:w="2430" w:type="dxa"/>
            <w:vAlign w:val="center"/>
          </w:tcPr>
          <w:p w14:paraId="03F7B9D5" w14:textId="77777777" w:rsidR="00CF199A" w:rsidRPr="00A044E8" w:rsidRDefault="00CF199A" w:rsidP="00C52F0A">
            <w:pPr>
              <w:spacing w:line="276" w:lineRule="auto"/>
              <w:rPr>
                <w:rFonts w:eastAsiaTheme="minorEastAsia" w:cstheme="minorHAnsi"/>
                <w:b/>
                <w:bCs/>
                <w:color w:val="000000" w:themeColor="text1"/>
                <w:sz w:val="18"/>
                <w:szCs w:val="18"/>
              </w:rPr>
            </w:pPr>
          </w:p>
        </w:tc>
        <w:tc>
          <w:tcPr>
            <w:tcW w:w="2425" w:type="dxa"/>
            <w:gridSpan w:val="2"/>
            <w:vAlign w:val="center"/>
          </w:tcPr>
          <w:p w14:paraId="51A0CFA8" w14:textId="77777777" w:rsidR="00CF199A" w:rsidRPr="00A044E8" w:rsidRDefault="00CF199A" w:rsidP="00CF199A">
            <w:pPr>
              <w:pStyle w:val="ListParagraph"/>
              <w:numPr>
                <w:ilvl w:val="0"/>
                <w:numId w:val="8"/>
              </w:numPr>
              <w:spacing w:line="276" w:lineRule="auto"/>
              <w:ind w:left="144" w:hanging="144"/>
              <w:rPr>
                <w:rFonts w:eastAsiaTheme="minorEastAsia" w:cstheme="minorHAnsi"/>
                <w:color w:val="000000" w:themeColor="text1"/>
                <w:sz w:val="18"/>
                <w:szCs w:val="18"/>
              </w:rPr>
            </w:pPr>
            <w:r w:rsidRPr="00A044E8">
              <w:rPr>
                <w:rFonts w:eastAsiaTheme="minorEastAsia" w:cstheme="minorHAnsi"/>
                <w:color w:val="000000" w:themeColor="text1"/>
                <w:sz w:val="18"/>
                <w:szCs w:val="18"/>
              </w:rPr>
              <w:t>Duration of response</w:t>
            </w:r>
          </w:p>
          <w:p w14:paraId="3CA3EB86" w14:textId="442B2F0F" w:rsidR="00CF199A" w:rsidRPr="00A044E8" w:rsidRDefault="00CF199A" w:rsidP="00F35DC4">
            <w:pPr>
              <w:pStyle w:val="ListParagraph"/>
              <w:numPr>
                <w:ilvl w:val="0"/>
                <w:numId w:val="8"/>
              </w:numPr>
              <w:spacing w:line="276" w:lineRule="auto"/>
              <w:ind w:left="144" w:hanging="144"/>
              <w:rPr>
                <w:rFonts w:eastAsiaTheme="minorEastAsia" w:cstheme="minorHAnsi"/>
                <w:color w:val="000000" w:themeColor="text1"/>
                <w:sz w:val="18"/>
                <w:szCs w:val="18"/>
              </w:rPr>
            </w:pPr>
            <w:r w:rsidRPr="00A044E8">
              <w:rPr>
                <w:rFonts w:eastAsiaTheme="minorEastAsia" w:cstheme="minorHAnsi"/>
                <w:color w:val="000000" w:themeColor="text1"/>
                <w:sz w:val="18"/>
                <w:szCs w:val="18"/>
              </w:rPr>
              <w:t>Discontinuation of treatment (lack of efficacy)</w:t>
            </w:r>
          </w:p>
        </w:tc>
      </w:tr>
      <w:tr w:rsidR="00CF199A" w:rsidRPr="00A044E8" w14:paraId="429A0F6B" w14:textId="77777777" w:rsidTr="00C52F0A">
        <w:tc>
          <w:tcPr>
            <w:tcW w:w="12950" w:type="dxa"/>
            <w:gridSpan w:val="8"/>
            <w:vAlign w:val="center"/>
          </w:tcPr>
          <w:p w14:paraId="4E5047FD" w14:textId="7E8EC436" w:rsidR="00CF199A" w:rsidRPr="00A044E8" w:rsidRDefault="00CF199A" w:rsidP="00C52F0A">
            <w:pPr>
              <w:pStyle w:val="NoSpacing"/>
              <w:rPr>
                <w:sz w:val="16"/>
                <w:szCs w:val="16"/>
              </w:rPr>
            </w:pPr>
            <w:r w:rsidRPr="00A044E8">
              <w:rPr>
                <w:b/>
                <w:bCs/>
                <w:sz w:val="16"/>
                <w:szCs w:val="16"/>
              </w:rPr>
              <w:lastRenderedPageBreak/>
              <w:t>Abbreviations:</w:t>
            </w:r>
            <w:r w:rsidRPr="00A044E8">
              <w:rPr>
                <w:sz w:val="16"/>
                <w:szCs w:val="16"/>
              </w:rPr>
              <w:t xml:space="preserve"> ADL: Activities of Daily Living; ASSFN: American Society for Stereotactic and Functional Neurosurgery; BAN: Brazilian Academy of Neurology; BIS: Barrett Impulsivity Scale; CNS: Congress of Neurological Surgeons; CPG: clinical practice guidelines; DBS: deep brain stimulation; EAN: European Academy of Neurology; </w:t>
            </w:r>
            <w:proofErr w:type="spellStart"/>
            <w:r w:rsidR="001C2726" w:rsidRPr="00A044E8">
              <w:rPr>
                <w:sz w:val="16"/>
                <w:szCs w:val="16"/>
              </w:rPr>
              <w:t>GPi</w:t>
            </w:r>
            <w:proofErr w:type="spellEnd"/>
            <w:r w:rsidR="001C2726" w:rsidRPr="00A044E8">
              <w:rPr>
                <w:sz w:val="16"/>
                <w:szCs w:val="16"/>
              </w:rPr>
              <w:t xml:space="preserve">, globus pallidus interna; </w:t>
            </w:r>
            <w:r w:rsidRPr="00A044E8">
              <w:rPr>
                <w:sz w:val="16"/>
                <w:szCs w:val="16"/>
              </w:rPr>
              <w:t>HDRS, Hamilton Depression Rating Scale; MDS: Movement Disorder</w:t>
            </w:r>
            <w:r w:rsidR="00A12B45" w:rsidRPr="00A044E8">
              <w:rPr>
                <w:sz w:val="16"/>
                <w:szCs w:val="16"/>
              </w:rPr>
              <w:t>s</w:t>
            </w:r>
            <w:r w:rsidRPr="00A044E8">
              <w:rPr>
                <w:sz w:val="16"/>
                <w:szCs w:val="16"/>
              </w:rPr>
              <w:t xml:space="preserve"> Society; IPMDS: International Parkinson and Movement Disorder</w:t>
            </w:r>
            <w:r w:rsidR="00A12B45" w:rsidRPr="00A044E8">
              <w:rPr>
                <w:sz w:val="16"/>
                <w:szCs w:val="16"/>
              </w:rPr>
              <w:t>s</w:t>
            </w:r>
            <w:r w:rsidRPr="00A044E8">
              <w:rPr>
                <w:sz w:val="16"/>
                <w:szCs w:val="16"/>
              </w:rPr>
              <w:t xml:space="preserve"> Society; MIDI: Minnesota Impulsivity-Compulsivity Disorders Interview; MoCA: Montreal Cognitive Assessment; MMSE: Mini-Mental State Examination; PD: Parkinson’s disease; PDQ: Parkinson’s Disease Questionnaire; QoL: quality of life; QUIP(-RS): Questions for Impulsivity-Compulsivity Disorders (-Rating Scale); STN: subthalamic nucleus </w:t>
            </w:r>
          </w:p>
          <w:p w14:paraId="78E6A021" w14:textId="1FDF8E4F" w:rsidR="00CF199A" w:rsidRPr="00A044E8" w:rsidRDefault="00CF199A" w:rsidP="008E15A6">
            <w:pPr>
              <w:pStyle w:val="NoSpacing"/>
              <w:rPr>
                <w:sz w:val="16"/>
                <w:szCs w:val="16"/>
              </w:rPr>
            </w:pPr>
            <w:r w:rsidRPr="00A044E8">
              <w:rPr>
                <w:sz w:val="16"/>
                <w:szCs w:val="16"/>
              </w:rPr>
              <w:t>*Motor complications are symptoms that occur after chronic treatment of PD. Key examples are motor fluctuations due to the wearing off of treatment effectiveness and levodopa-induced dyskinesia (</w:t>
            </w:r>
            <w:hyperlink r:id="rId14" w:history="1">
              <w:r w:rsidRPr="00A044E8">
                <w:rPr>
                  <w:rStyle w:val="Hyperlink"/>
                  <w:sz w:val="16"/>
                  <w:szCs w:val="16"/>
                </w:rPr>
                <w:t>Freitas et al., 2017</w:t>
              </w:r>
            </w:hyperlink>
            <w:r w:rsidRPr="00A044E8">
              <w:rPr>
                <w:sz w:val="16"/>
                <w:szCs w:val="16"/>
              </w:rPr>
              <w:t xml:space="preserve">). </w:t>
            </w:r>
          </w:p>
        </w:tc>
      </w:tr>
      <w:bookmarkEnd w:id="5"/>
    </w:tbl>
    <w:p w14:paraId="64E3C510" w14:textId="77777777" w:rsidR="004F053F" w:rsidRPr="00A044E8" w:rsidRDefault="004F053F" w:rsidP="00896B85">
      <w:pPr>
        <w:pStyle w:val="ListParagraph"/>
        <w:ind w:left="0"/>
        <w:rPr>
          <w:b/>
          <w:bCs/>
        </w:rPr>
      </w:pPr>
    </w:p>
    <w:p w14:paraId="0FDCEAFC" w14:textId="77777777" w:rsidR="008848BD" w:rsidRPr="00A044E8" w:rsidRDefault="008848BD" w:rsidP="00896B85">
      <w:pPr>
        <w:pStyle w:val="ListParagraph"/>
        <w:ind w:left="0"/>
        <w:rPr>
          <w:b/>
          <w:bCs/>
        </w:rPr>
      </w:pPr>
    </w:p>
    <w:p w14:paraId="292F902D" w14:textId="77777777" w:rsidR="008848BD" w:rsidRPr="00A044E8" w:rsidRDefault="008848BD" w:rsidP="00896B85">
      <w:pPr>
        <w:pStyle w:val="ListParagraph"/>
        <w:ind w:left="0"/>
        <w:rPr>
          <w:b/>
          <w:bCs/>
        </w:rPr>
        <w:sectPr w:rsidR="008848BD" w:rsidRPr="00A044E8" w:rsidSect="00896B85">
          <w:pgSz w:w="15840" w:h="12240" w:orient="landscape"/>
          <w:pgMar w:top="1080" w:right="1080" w:bottom="1080" w:left="1080" w:header="720" w:footer="720" w:gutter="0"/>
          <w:cols w:space="720"/>
          <w:docGrid w:linePitch="360"/>
        </w:sectPr>
      </w:pPr>
    </w:p>
    <w:p w14:paraId="755A7ADF" w14:textId="460A380A" w:rsidR="008848BD" w:rsidRPr="00A044E8" w:rsidRDefault="008848BD" w:rsidP="008848BD">
      <w:pPr>
        <w:rPr>
          <w:b/>
          <w:bCs/>
        </w:rPr>
      </w:pPr>
      <w:bookmarkStart w:id="6" w:name="Table_B2"/>
      <w:r w:rsidRPr="00A044E8">
        <w:rPr>
          <w:b/>
          <w:bCs/>
        </w:rPr>
        <w:lastRenderedPageBreak/>
        <w:t xml:space="preserve">Table B2. </w:t>
      </w:r>
      <w:bookmarkStart w:id="7" w:name="_Hlk194398935"/>
      <w:r w:rsidRPr="00A044E8">
        <w:rPr>
          <w:b/>
          <w:bCs/>
        </w:rPr>
        <w:t>Outcomes Identified as ‘Critical’ or ‘Important’ by the  European Academy of Neurology and European Section of the Movement Disorder</w:t>
      </w:r>
      <w:r w:rsidR="00A12B45" w:rsidRPr="00A044E8">
        <w:rPr>
          <w:b/>
          <w:bCs/>
        </w:rPr>
        <w:t>s</w:t>
      </w:r>
      <w:r w:rsidRPr="00A044E8">
        <w:rPr>
          <w:b/>
          <w:bCs/>
        </w:rPr>
        <w:t xml:space="preserve"> Society </w:t>
      </w:r>
    </w:p>
    <w:bookmarkEnd w:id="6"/>
    <w:bookmarkEnd w:id="7"/>
    <w:p w14:paraId="29993F15" w14:textId="7DDE18B2" w:rsidR="008848BD" w:rsidRPr="00A044E8" w:rsidRDefault="008848BD" w:rsidP="008848BD">
      <w:r w:rsidRPr="00A044E8">
        <w:t xml:space="preserve">The following table is </w:t>
      </w:r>
      <w:r w:rsidR="007D7D67" w:rsidRPr="00A044E8">
        <w:t xml:space="preserve">derived from </w:t>
      </w:r>
      <w:r w:rsidRPr="00A044E8">
        <w:t xml:space="preserve">Table App1.1a in Appendix 1 of the </w:t>
      </w:r>
      <w:r w:rsidR="00B52888" w:rsidRPr="00A044E8">
        <w:t xml:space="preserve">clinical practice </w:t>
      </w:r>
      <w:r w:rsidRPr="00A044E8">
        <w:t xml:space="preserve">guidelines published by </w:t>
      </w:r>
      <w:proofErr w:type="spellStart"/>
      <w:r w:rsidR="00B52888" w:rsidRPr="00A044E8">
        <w:t>Deuschl</w:t>
      </w:r>
      <w:proofErr w:type="spellEnd"/>
      <w:r w:rsidR="00B52888" w:rsidRPr="00A044E8">
        <w:t xml:space="preserve"> et al. (2022). These guidelines addressed invasive therapies for advanced PD</w:t>
      </w:r>
      <w:r w:rsidR="001E4AC8" w:rsidRPr="00A044E8">
        <w:t xml:space="preserve">: </w:t>
      </w:r>
      <w:r w:rsidR="00B52888" w:rsidRPr="00A044E8">
        <w:t xml:space="preserve">DBS, </w:t>
      </w:r>
      <w:proofErr w:type="spellStart"/>
      <w:r w:rsidR="00B52888" w:rsidRPr="00A044E8">
        <w:t>MRgFUS</w:t>
      </w:r>
      <w:proofErr w:type="spellEnd"/>
      <w:r w:rsidR="00B52888" w:rsidRPr="00A044E8">
        <w:t xml:space="preserve"> and other forms of brain lesioning, and subcutaneous or percutaneous delivery of pharmaceutical products.</w:t>
      </w:r>
      <w:r w:rsidR="001E4AC8" w:rsidRPr="00A044E8">
        <w:t xml:space="preserve"> </w:t>
      </w:r>
      <w:r w:rsidR="008A6082" w:rsidRPr="00A044E8">
        <w:t xml:space="preserve">The guideline </w:t>
      </w:r>
      <w:r w:rsidR="00C81163" w:rsidRPr="00A044E8">
        <w:t xml:space="preserve">lists overlapped considerably with the important clinical endpoints identified either in the CER or by the three expert reviewers (see </w:t>
      </w:r>
      <w:hyperlink w:anchor="Table_A1" w:history="1">
        <w:r w:rsidR="001E4AC8" w:rsidRPr="00A044E8">
          <w:rPr>
            <w:rStyle w:val="Hyperlink"/>
          </w:rPr>
          <w:t>Table A1</w:t>
        </w:r>
      </w:hyperlink>
      <w:r w:rsidR="00C81163" w:rsidRPr="00A044E8">
        <w:t>)</w:t>
      </w:r>
      <w:r w:rsidR="001E4AC8" w:rsidRPr="00A044E8">
        <w:t>.</w:t>
      </w:r>
      <w:r w:rsidR="00CB550A" w:rsidRPr="00A044E8">
        <w:t xml:space="preserve"> </w:t>
      </w:r>
    </w:p>
    <w:tbl>
      <w:tblPr>
        <w:tblStyle w:val="TableGrid"/>
        <w:tblW w:w="0" w:type="auto"/>
        <w:tblLook w:val="04A0" w:firstRow="1" w:lastRow="0" w:firstColumn="1" w:lastColumn="0" w:noHBand="0" w:noVBand="1"/>
      </w:tblPr>
      <w:tblGrid>
        <w:gridCol w:w="6835"/>
        <w:gridCol w:w="6835"/>
      </w:tblGrid>
      <w:tr w:rsidR="00B52888" w:rsidRPr="00A044E8" w14:paraId="014EB6A3" w14:textId="77777777" w:rsidTr="008D4B08">
        <w:tc>
          <w:tcPr>
            <w:tcW w:w="6835" w:type="dxa"/>
            <w:tcBorders>
              <w:bottom w:val="single" w:sz="4" w:space="0" w:color="auto"/>
            </w:tcBorders>
            <w:shd w:val="clear" w:color="auto" w:fill="2E74B5" w:themeFill="accent5" w:themeFillShade="BF"/>
            <w:vAlign w:val="center"/>
          </w:tcPr>
          <w:p w14:paraId="64531E1C" w14:textId="0B4760A6" w:rsidR="00B52888" w:rsidRPr="00A044E8" w:rsidRDefault="00B52888" w:rsidP="008D4B08">
            <w:pPr>
              <w:jc w:val="center"/>
              <w:rPr>
                <w:b/>
                <w:bCs/>
                <w:color w:val="FFFFFF" w:themeColor="background1"/>
              </w:rPr>
            </w:pPr>
            <w:r w:rsidRPr="00A044E8">
              <w:rPr>
                <w:b/>
                <w:bCs/>
                <w:color w:val="FFFFFF" w:themeColor="background1"/>
              </w:rPr>
              <w:t xml:space="preserve">Critical </w:t>
            </w:r>
            <w:r w:rsidR="001E4AC8" w:rsidRPr="00A044E8">
              <w:rPr>
                <w:b/>
                <w:bCs/>
                <w:color w:val="FFFFFF" w:themeColor="background1"/>
              </w:rPr>
              <w:t>O</w:t>
            </w:r>
            <w:r w:rsidRPr="00A044E8">
              <w:rPr>
                <w:b/>
                <w:bCs/>
                <w:color w:val="FFFFFF" w:themeColor="background1"/>
              </w:rPr>
              <w:t>utcomes</w:t>
            </w:r>
            <w:r w:rsidR="00C81163" w:rsidRPr="00A044E8">
              <w:rPr>
                <w:b/>
                <w:bCs/>
                <w:color w:val="FFFFFF" w:themeColor="background1"/>
              </w:rPr>
              <w:t xml:space="preserve"> (ALL APPEAR IN TABLE A1)</w:t>
            </w:r>
          </w:p>
        </w:tc>
        <w:tc>
          <w:tcPr>
            <w:tcW w:w="6835" w:type="dxa"/>
            <w:tcBorders>
              <w:bottom w:val="single" w:sz="4" w:space="0" w:color="auto"/>
            </w:tcBorders>
            <w:shd w:val="clear" w:color="auto" w:fill="2E74B5" w:themeFill="accent5" w:themeFillShade="BF"/>
            <w:vAlign w:val="center"/>
          </w:tcPr>
          <w:p w14:paraId="63B71287" w14:textId="279488F1" w:rsidR="00B52888" w:rsidRPr="00A044E8" w:rsidRDefault="00B52888" w:rsidP="008D4B08">
            <w:pPr>
              <w:jc w:val="center"/>
              <w:rPr>
                <w:b/>
                <w:bCs/>
                <w:color w:val="FFFFFF" w:themeColor="background1"/>
              </w:rPr>
            </w:pPr>
            <w:r w:rsidRPr="00A044E8">
              <w:rPr>
                <w:b/>
                <w:bCs/>
                <w:color w:val="FFFFFF" w:themeColor="background1"/>
              </w:rPr>
              <w:t xml:space="preserve">Important </w:t>
            </w:r>
            <w:r w:rsidR="001E4AC8" w:rsidRPr="00A044E8">
              <w:rPr>
                <w:b/>
                <w:bCs/>
                <w:color w:val="FFFFFF" w:themeColor="background1"/>
              </w:rPr>
              <w:t>O</w:t>
            </w:r>
            <w:r w:rsidRPr="00A044E8">
              <w:rPr>
                <w:b/>
                <w:bCs/>
                <w:color w:val="FFFFFF" w:themeColor="background1"/>
              </w:rPr>
              <w:t>utcomes</w:t>
            </w:r>
            <w:r w:rsidR="00C81163" w:rsidRPr="00A044E8">
              <w:rPr>
                <w:b/>
                <w:bCs/>
                <w:color w:val="FFFFFF" w:themeColor="background1"/>
              </w:rPr>
              <w:t xml:space="preserve"> </w:t>
            </w:r>
            <w:r w:rsidR="00A769AD" w:rsidRPr="00A044E8">
              <w:rPr>
                <w:b/>
                <w:bCs/>
                <w:color w:val="FFFFFF" w:themeColor="background1"/>
              </w:rPr>
              <w:t>(</w:t>
            </w:r>
            <w:r w:rsidR="008A6082" w:rsidRPr="00A044E8">
              <w:rPr>
                <w:b/>
                <w:bCs/>
                <w:color w:val="FFFFFF" w:themeColor="background1"/>
              </w:rPr>
              <w:t>SOME</w:t>
            </w:r>
            <w:r w:rsidR="00C81163" w:rsidRPr="00A044E8">
              <w:rPr>
                <w:b/>
                <w:bCs/>
                <w:color w:val="FFFFFF" w:themeColor="background1"/>
              </w:rPr>
              <w:t xml:space="preserve"> APPEAR IN TABLE A1)</w:t>
            </w:r>
          </w:p>
        </w:tc>
      </w:tr>
      <w:tr w:rsidR="008D4B08" w:rsidRPr="00A044E8" w14:paraId="6A9C41C1" w14:textId="77777777" w:rsidTr="008021E4">
        <w:trPr>
          <w:trHeight w:val="2487"/>
        </w:trPr>
        <w:tc>
          <w:tcPr>
            <w:tcW w:w="6835" w:type="dxa"/>
          </w:tcPr>
          <w:p w14:paraId="3A3BDB98" w14:textId="77777777" w:rsidR="008D4B08" w:rsidRPr="00A044E8" w:rsidRDefault="008D4B08" w:rsidP="008A6082">
            <w:pPr>
              <w:pStyle w:val="ListParagraph"/>
              <w:numPr>
                <w:ilvl w:val="0"/>
                <w:numId w:val="20"/>
              </w:numPr>
            </w:pPr>
            <w:r w:rsidRPr="00A044E8">
              <w:t>Quality of life (i.e., PDQ-39 or PDQ-8)</w:t>
            </w:r>
          </w:p>
          <w:p w14:paraId="25643022" w14:textId="77777777" w:rsidR="008D4B08" w:rsidRPr="00A044E8" w:rsidRDefault="008D4B08" w:rsidP="008A6082">
            <w:pPr>
              <w:pStyle w:val="ListParagraph"/>
              <w:numPr>
                <w:ilvl w:val="0"/>
                <w:numId w:val="20"/>
              </w:numPr>
            </w:pPr>
            <w:r w:rsidRPr="00A044E8">
              <w:t>Activities of daily living (i.e., UPDRS-II)</w:t>
            </w:r>
          </w:p>
          <w:p w14:paraId="0F9760FF" w14:textId="77777777" w:rsidR="008D4B08" w:rsidRPr="00A044E8" w:rsidRDefault="008D4B08" w:rsidP="008A6082">
            <w:pPr>
              <w:pStyle w:val="ListParagraph"/>
              <w:numPr>
                <w:ilvl w:val="0"/>
                <w:numId w:val="20"/>
              </w:numPr>
            </w:pPr>
            <w:r w:rsidRPr="00A044E8">
              <w:t>Motor Score (i.e., UPDRS-III)</w:t>
            </w:r>
          </w:p>
          <w:p w14:paraId="3D70C58B" w14:textId="77777777" w:rsidR="008D4B08" w:rsidRPr="00A044E8" w:rsidRDefault="008D4B08" w:rsidP="008A6082">
            <w:pPr>
              <w:pStyle w:val="ListParagraph"/>
              <w:numPr>
                <w:ilvl w:val="0"/>
                <w:numId w:val="20"/>
              </w:numPr>
            </w:pPr>
            <w:r w:rsidRPr="00A044E8">
              <w:t>Complications of therapy (i.e., UPDRS IV)</w:t>
            </w:r>
          </w:p>
          <w:p w14:paraId="2A573419" w14:textId="77777777" w:rsidR="008D4B08" w:rsidRPr="00A044E8" w:rsidRDefault="008D4B08" w:rsidP="008A6082">
            <w:pPr>
              <w:pStyle w:val="ListParagraph"/>
              <w:numPr>
                <w:ilvl w:val="0"/>
                <w:numId w:val="20"/>
              </w:numPr>
            </w:pPr>
            <w:r w:rsidRPr="00A044E8">
              <w:t>Motor fluctuations (i.e., patient-reported diary)</w:t>
            </w:r>
          </w:p>
          <w:p w14:paraId="43C14CC7" w14:textId="6E766B4F" w:rsidR="008D4B08" w:rsidRPr="00A044E8" w:rsidRDefault="008D4B08" w:rsidP="008A6082">
            <w:pPr>
              <w:pStyle w:val="ListParagraph"/>
              <w:numPr>
                <w:ilvl w:val="0"/>
                <w:numId w:val="20"/>
              </w:numPr>
            </w:pPr>
            <w:r w:rsidRPr="00A044E8">
              <w:t>Serious adverse events (i.e., surgical, medication)</w:t>
            </w:r>
          </w:p>
        </w:tc>
        <w:tc>
          <w:tcPr>
            <w:tcW w:w="6835" w:type="dxa"/>
          </w:tcPr>
          <w:p w14:paraId="2F833C15" w14:textId="77777777" w:rsidR="008D4B08" w:rsidRPr="00A044E8" w:rsidRDefault="008D4B08" w:rsidP="008D4B08">
            <w:pPr>
              <w:pStyle w:val="ListParagraph"/>
              <w:numPr>
                <w:ilvl w:val="0"/>
                <w:numId w:val="19"/>
              </w:numPr>
            </w:pPr>
            <w:r w:rsidRPr="00A044E8">
              <w:t>Staging (i.e., Hoehn and Yahr)</w:t>
            </w:r>
          </w:p>
          <w:p w14:paraId="13F9C51A" w14:textId="0D0AC37D" w:rsidR="00CB550A" w:rsidRPr="00A044E8" w:rsidRDefault="00CB550A" w:rsidP="00CB550A">
            <w:pPr>
              <w:pStyle w:val="ListParagraph"/>
              <w:numPr>
                <w:ilvl w:val="0"/>
                <w:numId w:val="22"/>
              </w:numPr>
            </w:pPr>
            <w:r w:rsidRPr="00A044E8">
              <w:t>Cognition (i.e., UPDRS-I, MoCA, MMSE)*</w:t>
            </w:r>
          </w:p>
          <w:p w14:paraId="45ED82F4" w14:textId="77777777" w:rsidR="008D4B08" w:rsidRPr="00A044E8" w:rsidRDefault="008D4B08" w:rsidP="008D4B08">
            <w:pPr>
              <w:pStyle w:val="ListParagraph"/>
              <w:numPr>
                <w:ilvl w:val="0"/>
                <w:numId w:val="19"/>
              </w:numPr>
            </w:pPr>
            <w:r w:rsidRPr="00A044E8">
              <w:t>Depression (i.e., Beck [BDI], Hamilton [HDRS])</w:t>
            </w:r>
          </w:p>
          <w:p w14:paraId="43C5AE38" w14:textId="77777777" w:rsidR="008D4B08" w:rsidRPr="00A044E8" w:rsidRDefault="008D4B08" w:rsidP="008D4B08">
            <w:pPr>
              <w:pStyle w:val="ListParagraph"/>
              <w:numPr>
                <w:ilvl w:val="0"/>
                <w:numId w:val="19"/>
              </w:numPr>
            </w:pPr>
            <w:r w:rsidRPr="00A044E8">
              <w:t>Apathy</w:t>
            </w:r>
          </w:p>
          <w:p w14:paraId="11B9838C" w14:textId="77777777" w:rsidR="008D4B08" w:rsidRPr="00A044E8" w:rsidRDefault="008D4B08" w:rsidP="008D4B08">
            <w:pPr>
              <w:pStyle w:val="ListParagraph"/>
              <w:numPr>
                <w:ilvl w:val="0"/>
                <w:numId w:val="19"/>
              </w:numPr>
            </w:pPr>
            <w:r w:rsidRPr="00A044E8">
              <w:t>Impulsive-compulsive behaviors (i.e., Ardouin-scale, QUIP, QUIP-RS, MIDI, BIS-impulsivity)</w:t>
            </w:r>
          </w:p>
          <w:p w14:paraId="14F8463D" w14:textId="77777777" w:rsidR="008D4B08" w:rsidRPr="00A044E8" w:rsidRDefault="008D4B08" w:rsidP="008A6082">
            <w:pPr>
              <w:pStyle w:val="ListParagraph"/>
              <w:numPr>
                <w:ilvl w:val="0"/>
                <w:numId w:val="21"/>
              </w:numPr>
            </w:pPr>
            <w:r w:rsidRPr="00A044E8">
              <w:t>Gait</w:t>
            </w:r>
          </w:p>
          <w:p w14:paraId="13AB445D" w14:textId="77777777" w:rsidR="008D4B08" w:rsidRPr="00A044E8" w:rsidRDefault="008D4B08" w:rsidP="008A6082">
            <w:pPr>
              <w:pStyle w:val="ListParagraph"/>
              <w:numPr>
                <w:ilvl w:val="0"/>
                <w:numId w:val="21"/>
              </w:numPr>
            </w:pPr>
            <w:r w:rsidRPr="00A044E8">
              <w:t>Speech</w:t>
            </w:r>
          </w:p>
          <w:p w14:paraId="69AB45A9" w14:textId="2C6A7216" w:rsidR="008D4B08" w:rsidRPr="00A044E8" w:rsidRDefault="008D4B08" w:rsidP="008D4B08">
            <w:pPr>
              <w:pStyle w:val="ListParagraph"/>
              <w:numPr>
                <w:ilvl w:val="0"/>
                <w:numId w:val="19"/>
              </w:numPr>
            </w:pPr>
            <w:r w:rsidRPr="00A044E8">
              <w:t>Daily dosage anti-Parkinson’s medication (levodopa mg equivalent)</w:t>
            </w:r>
          </w:p>
        </w:tc>
      </w:tr>
      <w:tr w:rsidR="008D4B08" w:rsidRPr="00A044E8" w14:paraId="41AB1B50" w14:textId="77777777" w:rsidTr="006A3DCE">
        <w:tc>
          <w:tcPr>
            <w:tcW w:w="13670" w:type="dxa"/>
            <w:gridSpan w:val="2"/>
          </w:tcPr>
          <w:p w14:paraId="4C66467D" w14:textId="77777777" w:rsidR="008D4B08" w:rsidRPr="00A044E8" w:rsidRDefault="008D4B08" w:rsidP="008848BD">
            <w:r w:rsidRPr="00A044E8">
              <w:rPr>
                <w:b/>
                <w:bCs/>
              </w:rPr>
              <w:t xml:space="preserve">Abbreviations: </w:t>
            </w:r>
            <w:r w:rsidRPr="00A044E8">
              <w:t xml:space="preserve">BDI: Beck Depression Inventory; </w:t>
            </w:r>
            <w:r w:rsidR="0002570F" w:rsidRPr="00A044E8">
              <w:t xml:space="preserve">BIS: Barrett Impulsivity Scale; HDRS: Hamilton Depression Rating Scale; </w:t>
            </w:r>
            <w:r w:rsidR="004161A3" w:rsidRPr="00A044E8">
              <w:t xml:space="preserve">MIMI: </w:t>
            </w:r>
            <w:r w:rsidR="0002570F" w:rsidRPr="00A044E8">
              <w:t xml:space="preserve">Motor Impairment in Drug-induced Impulse Control Disorders; </w:t>
            </w:r>
            <w:r w:rsidRPr="00A044E8">
              <w:t xml:space="preserve">MMSE: Mini-Mental State Examination; MoCA: Montreal Cognitive Assessment; PDQ: Parkinsons’s Disease Questionnaire; </w:t>
            </w:r>
            <w:r w:rsidR="0002570F" w:rsidRPr="00A044E8">
              <w:t xml:space="preserve">QUIP(-RS): Questionnaire for Impulsive-Compulsive Disorders in Parkinson's Disease(-Rating Scale); </w:t>
            </w:r>
            <w:r w:rsidRPr="00A044E8">
              <w:t xml:space="preserve">UPDRS: United Parkinson’s Disease Rating Scale </w:t>
            </w:r>
          </w:p>
          <w:p w14:paraId="386CD16D" w14:textId="1033A691" w:rsidR="00CB550A" w:rsidRPr="00A044E8" w:rsidRDefault="00CB550A" w:rsidP="008848BD">
            <w:r w:rsidRPr="00A044E8">
              <w:t>*Not mentioned by any of the other four professional guidance documents.</w:t>
            </w:r>
          </w:p>
        </w:tc>
      </w:tr>
    </w:tbl>
    <w:p w14:paraId="064D2798" w14:textId="3015C9E0" w:rsidR="00B52888" w:rsidRPr="00A044E8" w:rsidRDefault="00B52888" w:rsidP="008848BD">
      <w:pPr>
        <w:sectPr w:rsidR="00B52888" w:rsidRPr="00A044E8" w:rsidSect="00896B85">
          <w:pgSz w:w="15840" w:h="12240" w:orient="landscape"/>
          <w:pgMar w:top="1080" w:right="1080" w:bottom="1080" w:left="1080" w:header="720" w:footer="720" w:gutter="0"/>
          <w:cols w:space="720"/>
          <w:docGrid w:linePitch="360"/>
        </w:sectPr>
      </w:pPr>
    </w:p>
    <w:p w14:paraId="740239BA" w14:textId="2DE4FA82" w:rsidR="00896B85" w:rsidRPr="00A044E8" w:rsidRDefault="00896B85" w:rsidP="00896B85">
      <w:pPr>
        <w:pStyle w:val="ListParagraph"/>
        <w:ind w:left="0"/>
        <w:rPr>
          <w:b/>
          <w:bCs/>
        </w:rPr>
      </w:pPr>
      <w:bookmarkStart w:id="8" w:name="Table_C"/>
      <w:r w:rsidRPr="00A044E8">
        <w:rPr>
          <w:b/>
          <w:bCs/>
        </w:rPr>
        <w:lastRenderedPageBreak/>
        <w:t>Table C. MCID Definitions for Prioritized Clinical Endpoints</w:t>
      </w:r>
      <w:r w:rsidR="006953EA" w:rsidRPr="00A044E8">
        <w:rPr>
          <w:b/>
          <w:bCs/>
        </w:rPr>
        <w:t xml:space="preserve"> (derived </w:t>
      </w:r>
      <w:r w:rsidR="00D138B2" w:rsidRPr="00A044E8">
        <w:rPr>
          <w:b/>
          <w:bCs/>
        </w:rPr>
        <w:t xml:space="preserve">originally </w:t>
      </w:r>
      <w:r w:rsidR="006953EA" w:rsidRPr="00A044E8">
        <w:rPr>
          <w:b/>
          <w:bCs/>
        </w:rPr>
        <w:t>from Appendix Table C1 of the full CER)</w:t>
      </w:r>
    </w:p>
    <w:p w14:paraId="0534858A" w14:textId="283F88BA" w:rsidR="007746C8" w:rsidRPr="00A044E8" w:rsidRDefault="005362D0" w:rsidP="007746C8">
      <w:pPr>
        <w:pStyle w:val="ListParagraph"/>
        <w:ind w:left="0"/>
      </w:pPr>
      <w:r w:rsidRPr="00A044E8">
        <w:rPr>
          <w:shd w:val="clear" w:color="auto" w:fill="C5E0B3" w:themeFill="accent6" w:themeFillTint="66"/>
        </w:rPr>
        <w:t xml:space="preserve">Green-shaded boxes show additions recommended by 1 or more of 3 </w:t>
      </w:r>
      <w:r w:rsidR="00D7350D" w:rsidRPr="00A044E8">
        <w:rPr>
          <w:shd w:val="clear" w:color="auto" w:fill="C5E0B3" w:themeFill="accent6" w:themeFillTint="66"/>
        </w:rPr>
        <w:t xml:space="preserve">external </w:t>
      </w:r>
      <w:r w:rsidRPr="00A044E8">
        <w:rPr>
          <w:shd w:val="clear" w:color="auto" w:fill="C5E0B3" w:themeFill="accent6" w:themeFillTint="66"/>
        </w:rPr>
        <w:t xml:space="preserve">experts who reviewed the </w:t>
      </w:r>
      <w:r w:rsidR="008E15A6" w:rsidRPr="00A044E8">
        <w:rPr>
          <w:shd w:val="clear" w:color="auto" w:fill="C5E0B3" w:themeFill="accent6" w:themeFillTint="66"/>
        </w:rPr>
        <w:t>full</w:t>
      </w:r>
      <w:r w:rsidRPr="00A044E8">
        <w:rPr>
          <w:shd w:val="clear" w:color="auto" w:fill="C5E0B3" w:themeFill="accent6" w:themeFillTint="66"/>
        </w:rPr>
        <w:t xml:space="preserve"> CER.</w:t>
      </w:r>
      <w:r w:rsidRPr="00A044E8">
        <w:t xml:space="preserve"> </w:t>
      </w:r>
    </w:p>
    <w:p w14:paraId="7E599988" w14:textId="149AC68C" w:rsidR="007746C8" w:rsidRPr="00A044E8" w:rsidRDefault="0069096C" w:rsidP="007746C8">
      <w:pPr>
        <w:pStyle w:val="ListParagraph"/>
        <w:ind w:left="0"/>
      </w:pPr>
      <w:r w:rsidRPr="00A044E8">
        <w:rPr>
          <w:shd w:val="clear" w:color="auto" w:fill="A4E9F0"/>
        </w:rPr>
        <w:t>Teal</w:t>
      </w:r>
      <w:r w:rsidR="007746C8" w:rsidRPr="00A044E8">
        <w:rPr>
          <w:shd w:val="clear" w:color="auto" w:fill="A4E9F0"/>
        </w:rPr>
        <w:t>-shaded boxes show additions recommended by 2 or more of 5 professional guidance documents</w:t>
      </w:r>
      <w:r w:rsidR="00C27374" w:rsidRPr="00A044E8">
        <w:rPr>
          <w:shd w:val="clear" w:color="auto" w:fill="A4E9F0"/>
        </w:rPr>
        <w:t>.</w:t>
      </w:r>
    </w:p>
    <w:p w14:paraId="18F9FC14" w14:textId="24EB555A" w:rsidR="00A7161E" w:rsidRPr="00A044E8" w:rsidRDefault="00A7161E" w:rsidP="007746C8">
      <w:pPr>
        <w:pStyle w:val="ListParagraph"/>
        <w:ind w:left="0"/>
      </w:pPr>
      <w:r w:rsidRPr="00A044E8">
        <w:t xml:space="preserve">MCIDs were identified in the original CER, by the expert reviewers or through </w:t>
      </w:r>
      <w:r w:rsidR="00C27374" w:rsidRPr="00A044E8">
        <w:t>supplemental</w:t>
      </w:r>
      <w:r w:rsidRPr="00A044E8">
        <w:t xml:space="preserve"> </w:t>
      </w:r>
      <w:r w:rsidR="00C27374" w:rsidRPr="00A044E8">
        <w:t>literature searches</w:t>
      </w:r>
      <w:r w:rsidRPr="00A044E8">
        <w:t>.</w:t>
      </w:r>
    </w:p>
    <w:tbl>
      <w:tblPr>
        <w:tblW w:w="0" w:type="auto"/>
        <w:tblInd w:w="-8" w:type="dxa"/>
        <w:tblLook w:val="04A0" w:firstRow="1" w:lastRow="0" w:firstColumn="1" w:lastColumn="0" w:noHBand="0" w:noVBand="1"/>
      </w:tblPr>
      <w:tblGrid>
        <w:gridCol w:w="1246"/>
        <w:gridCol w:w="3314"/>
        <w:gridCol w:w="4649"/>
        <w:gridCol w:w="4463"/>
      </w:tblGrid>
      <w:tr w:rsidR="00116E00" w:rsidRPr="00A044E8" w14:paraId="3CCC5F50" w14:textId="5EDE4502" w:rsidTr="00116E00">
        <w:trPr>
          <w:trHeight w:val="525"/>
          <w:tblHeader/>
        </w:trPr>
        <w:tc>
          <w:tcPr>
            <w:tcW w:w="1246" w:type="dxa"/>
            <w:tcBorders>
              <w:top w:val="single" w:sz="6" w:space="0" w:color="auto"/>
              <w:left w:val="single" w:sz="6" w:space="0" w:color="auto"/>
              <w:bottom w:val="single" w:sz="6" w:space="0" w:color="auto"/>
              <w:right w:val="single" w:sz="6" w:space="0" w:color="auto"/>
            </w:tcBorders>
            <w:shd w:val="clear" w:color="auto" w:fill="2E74B5" w:themeFill="accent5" w:themeFillShade="BF"/>
            <w:vAlign w:val="center"/>
          </w:tcPr>
          <w:p w14:paraId="146D7DD9" w14:textId="5F34CD0E" w:rsidR="00116E00" w:rsidRPr="00A044E8" w:rsidRDefault="00116E00" w:rsidP="00227428">
            <w:pPr>
              <w:jc w:val="center"/>
              <w:rPr>
                <w:rFonts w:ascii="Calibri" w:eastAsia="Calibri" w:hAnsi="Calibri" w:cs="Calibri"/>
                <w:b/>
                <w:bCs/>
                <w:color w:val="FFFFFF" w:themeColor="background1"/>
                <w:kern w:val="0"/>
                <w:sz w:val="20"/>
                <w:szCs w:val="20"/>
                <w14:ligatures w14:val="none"/>
              </w:rPr>
            </w:pPr>
            <w:r w:rsidRPr="00A044E8">
              <w:rPr>
                <w:rFonts w:ascii="Calibri" w:eastAsia="Calibri" w:hAnsi="Calibri" w:cs="Calibri"/>
                <w:b/>
                <w:bCs/>
                <w:color w:val="FFFFFF" w:themeColor="background1"/>
                <w:kern w:val="0"/>
                <w:sz w:val="20"/>
                <w:szCs w:val="20"/>
                <w14:ligatures w14:val="none"/>
              </w:rPr>
              <w:t>Clinical Endpoint*</w:t>
            </w:r>
          </w:p>
        </w:tc>
        <w:tc>
          <w:tcPr>
            <w:tcW w:w="3314" w:type="dxa"/>
            <w:tcBorders>
              <w:top w:val="single" w:sz="6" w:space="0" w:color="auto"/>
              <w:left w:val="single" w:sz="6" w:space="0" w:color="auto"/>
              <w:bottom w:val="single" w:sz="6" w:space="0" w:color="auto"/>
              <w:right w:val="single" w:sz="6" w:space="0" w:color="auto"/>
            </w:tcBorders>
            <w:shd w:val="clear" w:color="auto" w:fill="2E74B5" w:themeFill="accent5" w:themeFillShade="BF"/>
            <w:vAlign w:val="center"/>
          </w:tcPr>
          <w:p w14:paraId="4781A940" w14:textId="77777777" w:rsidR="00116E00" w:rsidRPr="00A044E8" w:rsidRDefault="00116E00" w:rsidP="00227428">
            <w:pPr>
              <w:jc w:val="center"/>
              <w:rPr>
                <w:rFonts w:ascii="Calibri" w:eastAsia="Calibri" w:hAnsi="Calibri" w:cs="Calibri"/>
                <w:b/>
                <w:bCs/>
                <w:color w:val="FFFFFF" w:themeColor="background1"/>
                <w:kern w:val="0"/>
                <w:sz w:val="20"/>
                <w:szCs w:val="20"/>
                <w:vertAlign w:val="superscript"/>
                <w14:ligatures w14:val="none"/>
              </w:rPr>
            </w:pPr>
            <w:r w:rsidRPr="00A044E8">
              <w:rPr>
                <w:rFonts w:ascii="Calibri" w:eastAsia="Calibri" w:hAnsi="Calibri" w:cs="Calibri"/>
                <w:b/>
                <w:bCs/>
                <w:color w:val="FFFFFF" w:themeColor="background1"/>
                <w:kern w:val="0"/>
                <w:sz w:val="20"/>
                <w:szCs w:val="20"/>
                <w14:ligatures w14:val="none"/>
              </w:rPr>
              <w:t>Instruments</w:t>
            </w:r>
          </w:p>
        </w:tc>
        <w:tc>
          <w:tcPr>
            <w:tcW w:w="4649" w:type="dxa"/>
            <w:tcBorders>
              <w:top w:val="single" w:sz="6" w:space="0" w:color="auto"/>
              <w:left w:val="single" w:sz="6" w:space="0" w:color="auto"/>
              <w:bottom w:val="single" w:sz="6" w:space="0" w:color="auto"/>
              <w:right w:val="single" w:sz="6" w:space="0" w:color="auto"/>
            </w:tcBorders>
            <w:shd w:val="clear" w:color="auto" w:fill="2E74B5" w:themeFill="accent5" w:themeFillShade="BF"/>
            <w:vAlign w:val="center"/>
          </w:tcPr>
          <w:p w14:paraId="5446D7A9" w14:textId="50BBBC24" w:rsidR="00116E00" w:rsidRPr="00A044E8" w:rsidRDefault="00116E00" w:rsidP="00227428">
            <w:pPr>
              <w:jc w:val="center"/>
              <w:rPr>
                <w:rFonts w:ascii="Calibri" w:eastAsia="Calibri" w:hAnsi="Calibri" w:cs="Calibri"/>
                <w:b/>
                <w:bCs/>
                <w:color w:val="FFFFFF" w:themeColor="background1"/>
                <w:kern w:val="0"/>
                <w:sz w:val="20"/>
                <w:szCs w:val="20"/>
                <w14:ligatures w14:val="none"/>
              </w:rPr>
            </w:pPr>
            <w:r w:rsidRPr="00A044E8">
              <w:rPr>
                <w:rFonts w:ascii="Calibri" w:eastAsia="Calibri" w:hAnsi="Calibri" w:cs="Calibri"/>
                <w:b/>
                <w:bCs/>
                <w:color w:val="FFFFFF" w:themeColor="background1"/>
                <w:kern w:val="0"/>
                <w:sz w:val="20"/>
                <w:szCs w:val="20"/>
                <w14:ligatures w14:val="none"/>
              </w:rPr>
              <w:t xml:space="preserve">MCID </w:t>
            </w:r>
          </w:p>
        </w:tc>
        <w:tc>
          <w:tcPr>
            <w:tcW w:w="4463" w:type="dxa"/>
            <w:tcBorders>
              <w:top w:val="single" w:sz="6" w:space="0" w:color="auto"/>
              <w:left w:val="single" w:sz="6" w:space="0" w:color="auto"/>
              <w:bottom w:val="single" w:sz="6" w:space="0" w:color="auto"/>
              <w:right w:val="single" w:sz="6" w:space="0" w:color="auto"/>
            </w:tcBorders>
            <w:shd w:val="clear" w:color="auto" w:fill="2E74B5" w:themeFill="accent5" w:themeFillShade="BF"/>
          </w:tcPr>
          <w:p w14:paraId="100A4009" w14:textId="77777777" w:rsidR="00116E00" w:rsidRPr="00A044E8" w:rsidRDefault="00116E00" w:rsidP="00227428">
            <w:pPr>
              <w:jc w:val="center"/>
              <w:rPr>
                <w:rFonts w:ascii="Calibri" w:eastAsia="Calibri" w:hAnsi="Calibri" w:cs="Calibri"/>
                <w:b/>
                <w:bCs/>
                <w:color w:val="FFFFFF" w:themeColor="background1"/>
                <w:kern w:val="0"/>
                <w:sz w:val="20"/>
                <w:szCs w:val="20"/>
                <w14:ligatures w14:val="none"/>
              </w:rPr>
            </w:pPr>
          </w:p>
        </w:tc>
      </w:tr>
      <w:tr w:rsidR="00116E00" w:rsidRPr="00A044E8" w14:paraId="2108F64F" w14:textId="744758BB" w:rsidTr="00116E00">
        <w:trPr>
          <w:trHeight w:val="336"/>
        </w:trPr>
        <w:tc>
          <w:tcPr>
            <w:tcW w:w="9209" w:type="dxa"/>
            <w:gridSpan w:val="3"/>
            <w:tcBorders>
              <w:top w:val="single" w:sz="6" w:space="0" w:color="auto"/>
              <w:left w:val="single" w:sz="6" w:space="0" w:color="auto"/>
              <w:bottom w:val="single" w:sz="4" w:space="0" w:color="auto"/>
              <w:right w:val="single" w:sz="6" w:space="0" w:color="auto"/>
            </w:tcBorders>
            <w:shd w:val="clear" w:color="auto" w:fill="9CC2E5" w:themeFill="accent5" w:themeFillTint="99"/>
            <w:vAlign w:val="center"/>
          </w:tcPr>
          <w:p w14:paraId="07714FA4" w14:textId="77777777" w:rsidR="00116E00" w:rsidRPr="00A044E8" w:rsidRDefault="00116E00" w:rsidP="00227428">
            <w:pPr>
              <w:rPr>
                <w:rFonts w:ascii="Calibri" w:eastAsia="Calibri" w:hAnsi="Calibri" w:cs="Calibri"/>
                <w:b/>
                <w:bCs/>
                <w:color w:val="000000"/>
                <w:kern w:val="0"/>
                <w:sz w:val="18"/>
                <w:szCs w:val="18"/>
                <w14:ligatures w14:val="none"/>
              </w:rPr>
            </w:pPr>
            <w:r w:rsidRPr="00A044E8">
              <w:rPr>
                <w:rFonts w:ascii="Calibri" w:eastAsia="Calibri" w:hAnsi="Calibri" w:cs="Calibri"/>
                <w:b/>
                <w:bCs/>
                <w:color w:val="000000"/>
                <w:kern w:val="0"/>
                <w:sz w:val="18"/>
                <w:szCs w:val="18"/>
                <w14:ligatures w14:val="none"/>
              </w:rPr>
              <w:t>PARKINSON’S DISEASE</w:t>
            </w:r>
          </w:p>
        </w:tc>
        <w:tc>
          <w:tcPr>
            <w:tcW w:w="4463" w:type="dxa"/>
            <w:tcBorders>
              <w:top w:val="single" w:sz="6" w:space="0" w:color="auto"/>
              <w:left w:val="single" w:sz="6" w:space="0" w:color="auto"/>
              <w:bottom w:val="single" w:sz="4" w:space="0" w:color="auto"/>
              <w:right w:val="single" w:sz="6" w:space="0" w:color="auto"/>
            </w:tcBorders>
            <w:shd w:val="clear" w:color="auto" w:fill="9CC2E5" w:themeFill="accent5" w:themeFillTint="99"/>
          </w:tcPr>
          <w:p w14:paraId="7023F85D" w14:textId="77777777" w:rsidR="00116E00" w:rsidRPr="00A044E8" w:rsidRDefault="00116E00" w:rsidP="00227428">
            <w:pPr>
              <w:rPr>
                <w:rFonts w:ascii="Calibri" w:eastAsia="Calibri" w:hAnsi="Calibri" w:cs="Calibri"/>
                <w:b/>
                <w:bCs/>
                <w:color w:val="000000"/>
                <w:kern w:val="0"/>
                <w:sz w:val="18"/>
                <w:szCs w:val="18"/>
                <w14:ligatures w14:val="none"/>
              </w:rPr>
            </w:pPr>
          </w:p>
        </w:tc>
      </w:tr>
      <w:tr w:rsidR="00116E00" w:rsidRPr="00A044E8" w14:paraId="332E8955" w14:textId="2EFC007F" w:rsidTr="00116E00">
        <w:trPr>
          <w:trHeight w:val="336"/>
        </w:trPr>
        <w:tc>
          <w:tcPr>
            <w:tcW w:w="9209" w:type="dxa"/>
            <w:gridSpan w:val="3"/>
            <w:tcBorders>
              <w:top w:val="single" w:sz="6" w:space="0" w:color="auto"/>
              <w:left w:val="single" w:sz="6" w:space="0" w:color="auto"/>
              <w:bottom w:val="single" w:sz="4" w:space="0" w:color="auto"/>
              <w:right w:val="single" w:sz="6" w:space="0" w:color="auto"/>
            </w:tcBorders>
            <w:shd w:val="clear" w:color="auto" w:fill="BDD6EE" w:themeFill="accent5" w:themeFillTint="66"/>
            <w:vAlign w:val="center"/>
          </w:tcPr>
          <w:p w14:paraId="6FDE0339" w14:textId="77777777" w:rsidR="00116E00" w:rsidRPr="00A044E8" w:rsidRDefault="00116E00" w:rsidP="00227428">
            <w:pPr>
              <w:rPr>
                <w:rFonts w:ascii="Calibri" w:eastAsia="Calibri" w:hAnsi="Calibri" w:cs="Calibri"/>
                <w:b/>
                <w:bCs/>
                <w:color w:val="000000"/>
                <w:kern w:val="0"/>
                <w:sz w:val="18"/>
                <w:szCs w:val="18"/>
                <w14:ligatures w14:val="none"/>
              </w:rPr>
            </w:pPr>
            <w:r w:rsidRPr="00A044E8">
              <w:rPr>
                <w:rFonts w:ascii="Calibri" w:eastAsia="Calibri" w:hAnsi="Calibri" w:cs="Calibri"/>
                <w:b/>
                <w:bCs/>
                <w:color w:val="000000"/>
                <w:kern w:val="0"/>
                <w:sz w:val="18"/>
                <w:szCs w:val="18"/>
                <w14:ligatures w14:val="none"/>
              </w:rPr>
              <w:t>Domain: Clinician-Assessed Health Outcomes</w:t>
            </w:r>
          </w:p>
        </w:tc>
        <w:tc>
          <w:tcPr>
            <w:tcW w:w="4463" w:type="dxa"/>
            <w:tcBorders>
              <w:top w:val="single" w:sz="6" w:space="0" w:color="auto"/>
              <w:left w:val="single" w:sz="6" w:space="0" w:color="auto"/>
              <w:bottom w:val="single" w:sz="4" w:space="0" w:color="auto"/>
              <w:right w:val="single" w:sz="6" w:space="0" w:color="auto"/>
            </w:tcBorders>
            <w:shd w:val="clear" w:color="auto" w:fill="BDD6EE" w:themeFill="accent5" w:themeFillTint="66"/>
          </w:tcPr>
          <w:p w14:paraId="14ABD398" w14:textId="77777777" w:rsidR="00116E00" w:rsidRPr="00A044E8" w:rsidRDefault="00116E00" w:rsidP="00227428">
            <w:pPr>
              <w:rPr>
                <w:rFonts w:ascii="Calibri" w:eastAsia="Calibri" w:hAnsi="Calibri" w:cs="Calibri"/>
                <w:b/>
                <w:bCs/>
                <w:color w:val="000000"/>
                <w:kern w:val="0"/>
                <w:sz w:val="18"/>
                <w:szCs w:val="18"/>
                <w14:ligatures w14:val="none"/>
              </w:rPr>
            </w:pPr>
          </w:p>
        </w:tc>
      </w:tr>
      <w:tr w:rsidR="00116E00" w:rsidRPr="00A044E8" w14:paraId="3B639C18" w14:textId="1EE11E53" w:rsidTr="00116E00">
        <w:trPr>
          <w:trHeight w:val="22"/>
        </w:trPr>
        <w:tc>
          <w:tcPr>
            <w:tcW w:w="1246" w:type="dxa"/>
            <w:tcBorders>
              <w:top w:val="single" w:sz="4" w:space="0" w:color="auto"/>
              <w:left w:val="single" w:sz="4" w:space="0" w:color="auto"/>
              <w:bottom w:val="single" w:sz="4" w:space="0" w:color="auto"/>
              <w:right w:val="single" w:sz="4" w:space="0" w:color="auto"/>
            </w:tcBorders>
            <w:shd w:val="clear" w:color="auto" w:fill="auto"/>
            <w:tcMar>
              <w:top w:w="29" w:type="dxa"/>
              <w:left w:w="115" w:type="dxa"/>
              <w:bottom w:w="29" w:type="dxa"/>
              <w:right w:w="115" w:type="dxa"/>
            </w:tcMar>
          </w:tcPr>
          <w:p w14:paraId="1B5763D0" w14:textId="77777777" w:rsidR="00116E00" w:rsidRPr="00A044E8" w:rsidRDefault="00116E00" w:rsidP="00227428">
            <w:pPr>
              <w:rPr>
                <w:rFonts w:ascii="Calibri" w:eastAsia="Calibri" w:hAnsi="Calibri" w:cs="Calibri"/>
                <w:color w:val="000000"/>
                <w:kern w:val="0"/>
                <w:sz w:val="18"/>
                <w:szCs w:val="18"/>
                <w14:ligatures w14:val="none"/>
              </w:rPr>
            </w:pPr>
            <w:r w:rsidRPr="00A044E8">
              <w:rPr>
                <w:rFonts w:eastAsia="Calibri" w:cstheme="minorHAnsi"/>
                <w:sz w:val="18"/>
                <w:szCs w:val="18"/>
              </w:rPr>
              <w:t xml:space="preserve">Global change in motor symptom severity </w:t>
            </w:r>
          </w:p>
        </w:tc>
        <w:tc>
          <w:tcPr>
            <w:tcW w:w="3314" w:type="dxa"/>
            <w:tcBorders>
              <w:top w:val="single" w:sz="4" w:space="0" w:color="auto"/>
              <w:left w:val="single" w:sz="4" w:space="0" w:color="auto"/>
              <w:right w:val="single" w:sz="4" w:space="0" w:color="auto"/>
            </w:tcBorders>
            <w:shd w:val="clear" w:color="auto" w:fill="auto"/>
            <w:tcMar>
              <w:top w:w="29" w:type="dxa"/>
              <w:left w:w="115" w:type="dxa"/>
              <w:bottom w:w="29" w:type="dxa"/>
              <w:right w:w="115" w:type="dxa"/>
            </w:tcMar>
          </w:tcPr>
          <w:p w14:paraId="029CE58D" w14:textId="777D806B" w:rsidR="00116E00" w:rsidRPr="00A044E8" w:rsidRDefault="00116E00" w:rsidP="00227428">
            <w:pPr>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MDS-UPDRS III</w:t>
            </w:r>
          </w:p>
        </w:tc>
        <w:tc>
          <w:tcPr>
            <w:tcW w:w="4649" w:type="dxa"/>
            <w:tcBorders>
              <w:top w:val="single" w:sz="4" w:space="0" w:color="auto"/>
              <w:left w:val="single" w:sz="4" w:space="0" w:color="auto"/>
              <w:right w:val="single" w:sz="4" w:space="0" w:color="auto"/>
            </w:tcBorders>
            <w:shd w:val="clear" w:color="auto" w:fill="auto"/>
            <w:tcMar>
              <w:top w:w="29" w:type="dxa"/>
              <w:left w:w="115" w:type="dxa"/>
              <w:bottom w:w="29" w:type="dxa"/>
              <w:right w:w="115" w:type="dxa"/>
            </w:tcMar>
          </w:tcPr>
          <w:p w14:paraId="581F1488" w14:textId="5D510784" w:rsidR="00116E00" w:rsidRPr="00A044E8" w:rsidRDefault="00116E00" w:rsidP="00227428">
            <w:pPr>
              <w:rPr>
                <w:rFonts w:ascii="Calibri" w:eastAsia="Calibri" w:hAnsi="Calibri" w:cs="Calibri"/>
                <w:kern w:val="0"/>
                <w:sz w:val="18"/>
                <w:szCs w:val="18"/>
                <w14:ligatures w14:val="none"/>
              </w:rPr>
            </w:pPr>
            <w:r w:rsidRPr="00A044E8">
              <w:rPr>
                <w:rFonts w:ascii="Calibri" w:eastAsia="Calibri" w:hAnsi="Calibri" w:cs="Calibri"/>
                <w:kern w:val="0"/>
                <w:sz w:val="18"/>
                <w:szCs w:val="18"/>
                <w14:ligatures w14:val="none"/>
              </w:rPr>
              <w:t>3.25 points for detecting minimal, but clinically pertinent, improvement and 4.63 points for minimal, but clinically pertinent, worsening (Hungary) (</w:t>
            </w:r>
            <w:hyperlink r:id="rId15" w:history="1">
              <w:r w:rsidRPr="00A044E8">
                <w:rPr>
                  <w:rStyle w:val="Hyperlink"/>
                  <w:rFonts w:ascii="Calibri" w:eastAsia="Calibri" w:hAnsi="Calibri" w:cs="Calibri"/>
                  <w:kern w:val="0"/>
                  <w:sz w:val="18"/>
                  <w:szCs w:val="18"/>
                  <w14:ligatures w14:val="none"/>
                </w:rPr>
                <w:t>Horváth et al., 2016</w:t>
              </w:r>
            </w:hyperlink>
            <w:r w:rsidRPr="00A044E8">
              <w:rPr>
                <w:rFonts w:ascii="Calibri" w:eastAsia="Calibri" w:hAnsi="Calibri" w:cs="Calibri"/>
                <w:kern w:val="0"/>
                <w:sz w:val="18"/>
                <w:szCs w:val="18"/>
                <w14:ligatures w14:val="none"/>
              </w:rPr>
              <w:t>)</w:t>
            </w:r>
          </w:p>
        </w:tc>
        <w:tc>
          <w:tcPr>
            <w:tcW w:w="4463" w:type="dxa"/>
            <w:tcBorders>
              <w:top w:val="single" w:sz="4" w:space="0" w:color="auto"/>
              <w:left w:val="single" w:sz="4" w:space="0" w:color="auto"/>
              <w:right w:val="single" w:sz="4" w:space="0" w:color="auto"/>
            </w:tcBorders>
          </w:tcPr>
          <w:p w14:paraId="3D552128" w14:textId="77777777" w:rsidR="00116E00" w:rsidRPr="00A044E8" w:rsidRDefault="00116E00" w:rsidP="00227428">
            <w:pPr>
              <w:rPr>
                <w:rFonts w:ascii="Calibri" w:eastAsia="Calibri" w:hAnsi="Calibri" w:cs="Calibri"/>
                <w:kern w:val="0"/>
                <w:sz w:val="18"/>
                <w:szCs w:val="18"/>
                <w14:ligatures w14:val="none"/>
              </w:rPr>
            </w:pPr>
          </w:p>
        </w:tc>
      </w:tr>
      <w:tr w:rsidR="00116E00" w:rsidRPr="00A044E8" w14:paraId="008C7D65" w14:textId="05E5CE8E" w:rsidTr="00116E00">
        <w:trPr>
          <w:trHeight w:val="537"/>
        </w:trPr>
        <w:tc>
          <w:tcPr>
            <w:tcW w:w="1246" w:type="dxa"/>
            <w:vMerge w:val="restart"/>
            <w:tcBorders>
              <w:top w:val="single" w:sz="4" w:space="0" w:color="auto"/>
              <w:left w:val="single" w:sz="4" w:space="0" w:color="auto"/>
              <w:right w:val="single" w:sz="4" w:space="0" w:color="auto"/>
            </w:tcBorders>
            <w:shd w:val="clear" w:color="auto" w:fill="auto"/>
            <w:tcMar>
              <w:top w:w="29" w:type="dxa"/>
              <w:left w:w="115" w:type="dxa"/>
              <w:bottom w:w="29" w:type="dxa"/>
              <w:right w:w="115" w:type="dxa"/>
            </w:tcMar>
          </w:tcPr>
          <w:p w14:paraId="77682AC5" w14:textId="77777777" w:rsidR="00116E00" w:rsidRPr="00A044E8" w:rsidRDefault="00116E00" w:rsidP="00227428">
            <w:pPr>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Gait function, postural instability and balance</w:t>
            </w:r>
          </w:p>
        </w:tc>
        <w:tc>
          <w:tcPr>
            <w:tcW w:w="3314" w:type="dxa"/>
            <w:tcBorders>
              <w:top w:val="single" w:sz="4" w:space="0" w:color="auto"/>
              <w:left w:val="single" w:sz="4" w:space="0" w:color="auto"/>
              <w:right w:val="single" w:sz="4" w:space="0" w:color="auto"/>
            </w:tcBorders>
            <w:shd w:val="clear" w:color="auto" w:fill="auto"/>
            <w:tcMar>
              <w:top w:w="29" w:type="dxa"/>
              <w:left w:w="115" w:type="dxa"/>
              <w:bottom w:w="29" w:type="dxa"/>
              <w:right w:w="115" w:type="dxa"/>
            </w:tcMar>
          </w:tcPr>
          <w:p w14:paraId="723DB08A" w14:textId="77777777" w:rsidR="00116E00" w:rsidRPr="00A044E8" w:rsidRDefault="00116E00" w:rsidP="00227428">
            <w:pPr>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FOG-Q</w:t>
            </w:r>
          </w:p>
        </w:tc>
        <w:tc>
          <w:tcPr>
            <w:tcW w:w="4649" w:type="dxa"/>
            <w:tcBorders>
              <w:top w:val="single" w:sz="4" w:space="0" w:color="auto"/>
              <w:left w:val="single" w:sz="4" w:space="0" w:color="auto"/>
              <w:right w:val="single" w:sz="4" w:space="0" w:color="auto"/>
            </w:tcBorders>
            <w:shd w:val="clear" w:color="auto" w:fill="auto"/>
            <w:tcMar>
              <w:top w:w="29" w:type="dxa"/>
              <w:left w:w="115" w:type="dxa"/>
              <w:bottom w:w="29" w:type="dxa"/>
              <w:right w:w="115" w:type="dxa"/>
            </w:tcMar>
          </w:tcPr>
          <w:p w14:paraId="43AA8A68" w14:textId="27CE8E82" w:rsidR="00116E00" w:rsidRPr="00A044E8" w:rsidRDefault="00116E00" w:rsidP="00227428">
            <w:pPr>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MCID for improvement based on expert clinician rating was three scale points with a sensitivity of 0.67 and a specificity of 0.96 (Germany) (</w:t>
            </w:r>
            <w:proofErr w:type="spellStart"/>
            <w:r w:rsidRPr="00A044E8">
              <w:fldChar w:fldCharType="begin"/>
            </w:r>
            <w:r w:rsidRPr="00A044E8">
              <w:instrText>HYPERLINK "https://pubmed.ncbi.nlm.nih.gov/31868684/"</w:instrText>
            </w:r>
            <w:r w:rsidRPr="00A044E8">
              <w:fldChar w:fldCharType="separate"/>
            </w:r>
            <w:r w:rsidRPr="00A044E8">
              <w:rPr>
                <w:rStyle w:val="Hyperlink"/>
                <w:rFonts w:ascii="Calibri" w:eastAsia="Calibri" w:hAnsi="Calibri" w:cs="Calibri"/>
                <w:kern w:val="0"/>
                <w:sz w:val="18"/>
                <w:szCs w:val="18"/>
                <w14:ligatures w14:val="none"/>
              </w:rPr>
              <w:t>Fietzek</w:t>
            </w:r>
            <w:proofErr w:type="spellEnd"/>
            <w:r w:rsidRPr="00A044E8">
              <w:rPr>
                <w:rStyle w:val="Hyperlink"/>
                <w:rFonts w:ascii="Calibri" w:eastAsia="Calibri" w:hAnsi="Calibri" w:cs="Calibri"/>
                <w:kern w:val="0"/>
                <w:sz w:val="18"/>
                <w:szCs w:val="18"/>
                <w14:ligatures w14:val="none"/>
              </w:rPr>
              <w:t xml:space="preserve"> et al., 2020</w:t>
            </w:r>
            <w:r w:rsidRPr="00A044E8">
              <w:fldChar w:fldCharType="end"/>
            </w:r>
            <w:r w:rsidRPr="00A044E8">
              <w:rPr>
                <w:rFonts w:ascii="Calibri" w:eastAsia="Calibri" w:hAnsi="Calibri" w:cs="Calibri"/>
                <w:color w:val="000000"/>
                <w:kern w:val="0"/>
                <w:sz w:val="18"/>
                <w:szCs w:val="18"/>
                <w14:ligatures w14:val="none"/>
              </w:rPr>
              <w:t>)</w:t>
            </w:r>
          </w:p>
        </w:tc>
        <w:tc>
          <w:tcPr>
            <w:tcW w:w="4463" w:type="dxa"/>
            <w:tcBorders>
              <w:top w:val="single" w:sz="4" w:space="0" w:color="auto"/>
              <w:left w:val="single" w:sz="4" w:space="0" w:color="auto"/>
              <w:right w:val="single" w:sz="4" w:space="0" w:color="auto"/>
            </w:tcBorders>
          </w:tcPr>
          <w:p w14:paraId="5C31DAF3" w14:textId="77777777" w:rsidR="00116E00" w:rsidRPr="00A044E8" w:rsidRDefault="00116E00" w:rsidP="00227428">
            <w:pPr>
              <w:rPr>
                <w:rFonts w:ascii="Calibri" w:eastAsia="Calibri" w:hAnsi="Calibri" w:cs="Calibri"/>
                <w:color w:val="000000"/>
                <w:kern w:val="0"/>
                <w:sz w:val="18"/>
                <w:szCs w:val="18"/>
                <w14:ligatures w14:val="none"/>
              </w:rPr>
            </w:pPr>
          </w:p>
        </w:tc>
      </w:tr>
      <w:tr w:rsidR="00116E00" w:rsidRPr="00A044E8" w14:paraId="11244111" w14:textId="7FA99369" w:rsidTr="00116E00">
        <w:trPr>
          <w:trHeight w:val="402"/>
        </w:trPr>
        <w:tc>
          <w:tcPr>
            <w:tcW w:w="1246" w:type="dxa"/>
            <w:vMerge/>
            <w:tcBorders>
              <w:left w:val="single" w:sz="4" w:space="0" w:color="auto"/>
              <w:right w:val="single" w:sz="4" w:space="0" w:color="auto"/>
            </w:tcBorders>
            <w:tcMar>
              <w:top w:w="29" w:type="dxa"/>
              <w:left w:w="115" w:type="dxa"/>
              <w:bottom w:w="29" w:type="dxa"/>
              <w:right w:w="115" w:type="dxa"/>
            </w:tcMar>
          </w:tcPr>
          <w:p w14:paraId="28B3355A" w14:textId="77777777" w:rsidR="00116E00" w:rsidRPr="00A044E8" w:rsidRDefault="00116E00" w:rsidP="00227428">
            <w:pPr>
              <w:rPr>
                <w:rFonts w:ascii="Calibri" w:eastAsia="Calibri" w:hAnsi="Calibri" w:cs="Calibri"/>
                <w:color w:val="000000"/>
                <w:kern w:val="0"/>
                <w:sz w:val="18"/>
                <w:szCs w:val="18"/>
                <w14:ligatures w14:val="none"/>
              </w:rPr>
            </w:pPr>
          </w:p>
        </w:tc>
        <w:tc>
          <w:tcPr>
            <w:tcW w:w="3314" w:type="dxa"/>
            <w:tcBorders>
              <w:top w:val="single" w:sz="4" w:space="0" w:color="auto"/>
              <w:left w:val="single" w:sz="4" w:space="0" w:color="auto"/>
              <w:right w:val="single" w:sz="4" w:space="0" w:color="auto"/>
            </w:tcBorders>
            <w:shd w:val="clear" w:color="auto" w:fill="auto"/>
            <w:tcMar>
              <w:top w:w="29" w:type="dxa"/>
              <w:left w:w="115" w:type="dxa"/>
              <w:bottom w:w="29" w:type="dxa"/>
              <w:right w:w="115" w:type="dxa"/>
            </w:tcMar>
          </w:tcPr>
          <w:p w14:paraId="7E12973B" w14:textId="77777777" w:rsidR="00116E00" w:rsidRPr="00A044E8" w:rsidRDefault="00116E00" w:rsidP="00227428">
            <w:pPr>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 xml:space="preserve">TUG </w:t>
            </w:r>
          </w:p>
        </w:tc>
        <w:tc>
          <w:tcPr>
            <w:tcW w:w="4649" w:type="dxa"/>
            <w:tcBorders>
              <w:top w:val="single" w:sz="4" w:space="0" w:color="auto"/>
              <w:left w:val="single" w:sz="4" w:space="0" w:color="auto"/>
              <w:right w:val="single" w:sz="4" w:space="0" w:color="auto"/>
            </w:tcBorders>
            <w:shd w:val="clear" w:color="auto" w:fill="auto"/>
            <w:tcMar>
              <w:top w:w="29" w:type="dxa"/>
              <w:left w:w="115" w:type="dxa"/>
              <w:bottom w:w="29" w:type="dxa"/>
              <w:right w:w="115" w:type="dxa"/>
            </w:tcMar>
          </w:tcPr>
          <w:p w14:paraId="2A40C076" w14:textId="0F205EA3" w:rsidR="00116E00" w:rsidRPr="00A044E8" w:rsidRDefault="00116E00" w:rsidP="00227428">
            <w:pPr>
              <w:rPr>
                <w:rFonts w:ascii="Calibri" w:eastAsia="Calibri" w:hAnsi="Calibri" w:cs="Calibri"/>
                <w:color w:val="000000"/>
                <w:kern w:val="0"/>
                <w:sz w:val="18"/>
                <w:szCs w:val="18"/>
                <w14:ligatures w14:val="none"/>
              </w:rPr>
            </w:pPr>
            <w:r w:rsidRPr="00A044E8">
              <w:rPr>
                <w:rFonts w:ascii="Calibri" w:eastAsia="Calibri" w:hAnsi="Calibri" w:cs="Calibri"/>
                <w:kern w:val="0"/>
                <w:sz w:val="18"/>
                <w:szCs w:val="18"/>
                <w14:ligatures w14:val="none"/>
              </w:rPr>
              <w:t>No MCID identified</w:t>
            </w:r>
          </w:p>
        </w:tc>
        <w:tc>
          <w:tcPr>
            <w:tcW w:w="4463" w:type="dxa"/>
            <w:tcBorders>
              <w:top w:val="single" w:sz="4" w:space="0" w:color="auto"/>
              <w:left w:val="single" w:sz="4" w:space="0" w:color="auto"/>
              <w:right w:val="single" w:sz="4" w:space="0" w:color="auto"/>
            </w:tcBorders>
          </w:tcPr>
          <w:p w14:paraId="27891C01" w14:textId="77777777" w:rsidR="00116E00" w:rsidRPr="00A044E8" w:rsidRDefault="00116E00" w:rsidP="00227428">
            <w:pPr>
              <w:rPr>
                <w:rFonts w:ascii="Calibri" w:eastAsia="Calibri" w:hAnsi="Calibri" w:cs="Calibri"/>
                <w:kern w:val="0"/>
                <w:sz w:val="18"/>
                <w:szCs w:val="18"/>
                <w14:ligatures w14:val="none"/>
              </w:rPr>
            </w:pPr>
          </w:p>
        </w:tc>
      </w:tr>
      <w:tr w:rsidR="00116E00" w:rsidRPr="00A044E8" w14:paraId="6AC56CF7" w14:textId="52042BC1" w:rsidTr="00116E00">
        <w:trPr>
          <w:trHeight w:val="250"/>
        </w:trPr>
        <w:tc>
          <w:tcPr>
            <w:tcW w:w="1246" w:type="dxa"/>
            <w:tcBorders>
              <w:top w:val="single" w:sz="4" w:space="0" w:color="auto"/>
              <w:left w:val="single" w:sz="4" w:space="0" w:color="auto"/>
              <w:right w:val="single" w:sz="4" w:space="0" w:color="auto"/>
            </w:tcBorders>
            <w:shd w:val="clear" w:color="auto" w:fill="C5E0B3" w:themeFill="accent6" w:themeFillTint="66"/>
            <w:tcMar>
              <w:top w:w="29" w:type="dxa"/>
              <w:left w:w="115" w:type="dxa"/>
              <w:bottom w:w="29" w:type="dxa"/>
              <w:right w:w="115" w:type="dxa"/>
            </w:tcMar>
          </w:tcPr>
          <w:p w14:paraId="578878AB" w14:textId="711FF853" w:rsidR="00116E00" w:rsidRPr="00A044E8" w:rsidRDefault="00116E00" w:rsidP="000772A0">
            <w:pPr>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Speech function</w:t>
            </w:r>
          </w:p>
        </w:tc>
        <w:tc>
          <w:tcPr>
            <w:tcW w:w="3314"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98A2406" w14:textId="6B50C3D1" w:rsidR="00116E00" w:rsidRPr="00A044E8" w:rsidRDefault="00116E00" w:rsidP="000772A0">
            <w:pPr>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Speech Intelligibility Test</w:t>
            </w:r>
          </w:p>
        </w:tc>
        <w:tc>
          <w:tcPr>
            <w:tcW w:w="4649" w:type="dxa"/>
            <w:tcBorders>
              <w:top w:val="single" w:sz="4" w:space="0" w:color="auto"/>
              <w:left w:val="single" w:sz="4" w:space="0" w:color="auto"/>
              <w:right w:val="single" w:sz="4" w:space="0" w:color="auto"/>
            </w:tcBorders>
            <w:shd w:val="clear" w:color="auto" w:fill="C5E0B3" w:themeFill="accent6" w:themeFillTint="66"/>
          </w:tcPr>
          <w:p w14:paraId="3394B3E0" w14:textId="1E85DB94" w:rsidR="00116E00" w:rsidRPr="00A044E8" w:rsidRDefault="00116E00" w:rsidP="000772A0">
            <w:pPr>
              <w:rPr>
                <w:rFonts w:ascii="Calibri" w:eastAsia="Calibri" w:hAnsi="Calibri" w:cs="Calibri"/>
                <w:color w:val="000000"/>
                <w:kern w:val="0"/>
                <w:sz w:val="18"/>
                <w:szCs w:val="18"/>
                <w14:ligatures w14:val="none"/>
              </w:rPr>
            </w:pPr>
            <w:r w:rsidRPr="00A044E8">
              <w:rPr>
                <w:rFonts w:ascii="Calibri" w:eastAsia="Calibri" w:hAnsi="Calibri" w:cs="Calibri"/>
                <w:kern w:val="0"/>
                <w:sz w:val="18"/>
                <w:szCs w:val="18"/>
                <w14:ligatures w14:val="none"/>
              </w:rPr>
              <w:t>No MCID identified</w:t>
            </w:r>
          </w:p>
        </w:tc>
        <w:tc>
          <w:tcPr>
            <w:tcW w:w="4463" w:type="dxa"/>
            <w:tcBorders>
              <w:top w:val="single" w:sz="4" w:space="0" w:color="auto"/>
              <w:left w:val="single" w:sz="4" w:space="0" w:color="auto"/>
              <w:right w:val="single" w:sz="4" w:space="0" w:color="auto"/>
            </w:tcBorders>
            <w:shd w:val="clear" w:color="auto" w:fill="C5E0B3" w:themeFill="accent6" w:themeFillTint="66"/>
          </w:tcPr>
          <w:p w14:paraId="050F5958" w14:textId="77777777" w:rsidR="00116E00" w:rsidRPr="00A044E8" w:rsidRDefault="00116E00" w:rsidP="000772A0">
            <w:pPr>
              <w:rPr>
                <w:rFonts w:ascii="Calibri" w:eastAsia="Calibri" w:hAnsi="Calibri" w:cs="Calibri"/>
                <w:kern w:val="0"/>
                <w:sz w:val="18"/>
                <w:szCs w:val="18"/>
                <w14:ligatures w14:val="none"/>
              </w:rPr>
            </w:pPr>
          </w:p>
        </w:tc>
      </w:tr>
      <w:tr w:rsidR="00116E00" w:rsidRPr="00A044E8" w14:paraId="1608BE10" w14:textId="38E32A5C" w:rsidTr="00116E00">
        <w:trPr>
          <w:trHeight w:val="250"/>
        </w:trPr>
        <w:tc>
          <w:tcPr>
            <w:tcW w:w="1246" w:type="dxa"/>
            <w:vMerge w:val="restart"/>
            <w:tcBorders>
              <w:top w:val="single" w:sz="4" w:space="0" w:color="auto"/>
              <w:left w:val="single" w:sz="4" w:space="0" w:color="auto"/>
              <w:right w:val="single" w:sz="4" w:space="0" w:color="auto"/>
            </w:tcBorders>
            <w:shd w:val="clear" w:color="auto" w:fill="auto"/>
            <w:tcMar>
              <w:top w:w="29" w:type="dxa"/>
              <w:left w:w="115" w:type="dxa"/>
              <w:bottom w:w="29" w:type="dxa"/>
              <w:right w:w="115" w:type="dxa"/>
            </w:tcMar>
          </w:tcPr>
          <w:p w14:paraId="1CAEB806" w14:textId="77777777" w:rsidR="00116E00" w:rsidRPr="00A044E8" w:rsidRDefault="00116E00" w:rsidP="000772A0">
            <w:pPr>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Cognitive function</w:t>
            </w:r>
          </w:p>
        </w:tc>
        <w:tc>
          <w:tcPr>
            <w:tcW w:w="3314" w:type="dxa"/>
            <w:tcBorders>
              <w:top w:val="single" w:sz="4" w:space="0" w:color="auto"/>
              <w:left w:val="single" w:sz="4" w:space="0" w:color="auto"/>
              <w:bottom w:val="single" w:sz="4" w:space="0" w:color="auto"/>
              <w:right w:val="single" w:sz="4" w:space="0" w:color="auto"/>
            </w:tcBorders>
            <w:shd w:val="clear" w:color="auto" w:fill="auto"/>
          </w:tcPr>
          <w:p w14:paraId="75D675A0" w14:textId="77777777" w:rsidR="00116E00" w:rsidRPr="00A044E8" w:rsidRDefault="00116E00" w:rsidP="000772A0">
            <w:pPr>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Stroop test</w:t>
            </w:r>
          </w:p>
        </w:tc>
        <w:tc>
          <w:tcPr>
            <w:tcW w:w="4649" w:type="dxa"/>
            <w:tcBorders>
              <w:top w:val="single" w:sz="4" w:space="0" w:color="auto"/>
              <w:left w:val="single" w:sz="4" w:space="0" w:color="auto"/>
              <w:right w:val="single" w:sz="4" w:space="0" w:color="auto"/>
            </w:tcBorders>
            <w:shd w:val="clear" w:color="auto" w:fill="auto"/>
          </w:tcPr>
          <w:p w14:paraId="3F6B64D9" w14:textId="505A5694" w:rsidR="00116E00" w:rsidRPr="00A044E8" w:rsidRDefault="00116E00" w:rsidP="000772A0">
            <w:pPr>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5.5 points (Sweden, Alzheimer’s patients) (</w:t>
            </w:r>
            <w:hyperlink r:id="rId16" w:history="1">
              <w:r w:rsidRPr="00A044E8">
                <w:rPr>
                  <w:rStyle w:val="Hyperlink"/>
                  <w:rFonts w:ascii="Calibri" w:eastAsia="Calibri" w:hAnsi="Calibri" w:cs="Calibri"/>
                  <w:kern w:val="0"/>
                  <w:sz w:val="18"/>
                  <w:szCs w:val="18"/>
                  <w14:ligatures w14:val="none"/>
                </w:rPr>
                <w:t>Borland et al., 2022</w:t>
              </w:r>
            </w:hyperlink>
            <w:r w:rsidRPr="00A044E8">
              <w:rPr>
                <w:rFonts w:ascii="Calibri" w:eastAsia="Calibri" w:hAnsi="Calibri" w:cs="Calibri"/>
                <w:color w:val="000000"/>
                <w:kern w:val="0"/>
                <w:sz w:val="18"/>
                <w:szCs w:val="18"/>
                <w14:ligatures w14:val="none"/>
              </w:rPr>
              <w:t>)</w:t>
            </w:r>
          </w:p>
        </w:tc>
        <w:tc>
          <w:tcPr>
            <w:tcW w:w="4463" w:type="dxa"/>
            <w:tcBorders>
              <w:top w:val="single" w:sz="4" w:space="0" w:color="auto"/>
              <w:left w:val="single" w:sz="4" w:space="0" w:color="auto"/>
              <w:right w:val="single" w:sz="4" w:space="0" w:color="auto"/>
            </w:tcBorders>
          </w:tcPr>
          <w:p w14:paraId="7DDCD765" w14:textId="77777777" w:rsidR="00116E00" w:rsidRPr="00A044E8" w:rsidRDefault="00116E00" w:rsidP="000772A0">
            <w:pPr>
              <w:rPr>
                <w:rFonts w:ascii="Calibri" w:eastAsia="Calibri" w:hAnsi="Calibri" w:cs="Calibri"/>
                <w:color w:val="000000"/>
                <w:kern w:val="0"/>
                <w:sz w:val="18"/>
                <w:szCs w:val="18"/>
                <w14:ligatures w14:val="none"/>
              </w:rPr>
            </w:pPr>
          </w:p>
        </w:tc>
      </w:tr>
      <w:tr w:rsidR="00116E00" w:rsidRPr="00A044E8" w14:paraId="58514135" w14:textId="1C4044F1" w:rsidTr="00116E00">
        <w:trPr>
          <w:trHeight w:val="250"/>
        </w:trPr>
        <w:tc>
          <w:tcPr>
            <w:tcW w:w="1246" w:type="dxa"/>
            <w:vMerge/>
            <w:tcBorders>
              <w:left w:val="single" w:sz="4" w:space="0" w:color="auto"/>
              <w:right w:val="single" w:sz="4" w:space="0" w:color="auto"/>
            </w:tcBorders>
            <w:shd w:val="clear" w:color="auto" w:fill="auto"/>
            <w:tcMar>
              <w:top w:w="29" w:type="dxa"/>
              <w:left w:w="115" w:type="dxa"/>
              <w:bottom w:w="29" w:type="dxa"/>
              <w:right w:w="115" w:type="dxa"/>
            </w:tcMar>
          </w:tcPr>
          <w:p w14:paraId="68702E7F" w14:textId="77777777" w:rsidR="00116E00" w:rsidRPr="00A044E8" w:rsidRDefault="00116E00" w:rsidP="000772A0">
            <w:pPr>
              <w:rPr>
                <w:rFonts w:ascii="Calibri" w:eastAsia="Calibri" w:hAnsi="Calibri" w:cs="Calibri"/>
                <w:color w:val="000000"/>
                <w:kern w:val="0"/>
                <w:sz w:val="18"/>
                <w:szCs w:val="18"/>
                <w14:ligatures w14:val="none"/>
              </w:rPr>
            </w:pPr>
          </w:p>
        </w:tc>
        <w:tc>
          <w:tcPr>
            <w:tcW w:w="3314" w:type="dxa"/>
            <w:tcBorders>
              <w:top w:val="single" w:sz="4" w:space="0" w:color="auto"/>
              <w:left w:val="single" w:sz="4" w:space="0" w:color="auto"/>
              <w:right w:val="single" w:sz="4" w:space="0" w:color="auto"/>
            </w:tcBorders>
            <w:shd w:val="clear" w:color="auto" w:fill="C5E0B3" w:themeFill="accent6" w:themeFillTint="66"/>
          </w:tcPr>
          <w:p w14:paraId="32B4B14D" w14:textId="77777777" w:rsidR="00116E00" w:rsidRPr="00A044E8" w:rsidRDefault="00116E00" w:rsidP="000772A0">
            <w:pPr>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MoCA</w:t>
            </w:r>
          </w:p>
        </w:tc>
        <w:tc>
          <w:tcPr>
            <w:tcW w:w="4649" w:type="dxa"/>
            <w:tcBorders>
              <w:top w:val="single" w:sz="4" w:space="0" w:color="auto"/>
              <w:left w:val="single" w:sz="4" w:space="0" w:color="auto"/>
              <w:right w:val="single" w:sz="4" w:space="0" w:color="auto"/>
            </w:tcBorders>
            <w:shd w:val="clear" w:color="auto" w:fill="C5E0B3" w:themeFill="accent6" w:themeFillTint="66"/>
          </w:tcPr>
          <w:p w14:paraId="5902B7C7" w14:textId="279C5C17" w:rsidR="00116E00" w:rsidRPr="00A044E8" w:rsidRDefault="00116E00" w:rsidP="000772A0">
            <w:pPr>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1-2 points, depending on anchor vs. distribution method and choice of anchor (Sweden) (</w:t>
            </w:r>
            <w:hyperlink r:id="rId17" w:history="1">
              <w:r w:rsidRPr="00A044E8">
                <w:rPr>
                  <w:rStyle w:val="Hyperlink"/>
                  <w:rFonts w:ascii="Calibri" w:eastAsia="Calibri" w:hAnsi="Calibri" w:cs="Calibri"/>
                  <w:kern w:val="0"/>
                  <w:sz w:val="18"/>
                  <w:szCs w:val="18"/>
                  <w14:ligatures w14:val="none"/>
                </w:rPr>
                <w:t>Lindvall et al., 2024</w:t>
              </w:r>
            </w:hyperlink>
            <w:r w:rsidRPr="00A044E8">
              <w:rPr>
                <w:rFonts w:ascii="Calibri" w:eastAsia="Calibri" w:hAnsi="Calibri" w:cs="Calibri"/>
                <w:color w:val="000000"/>
                <w:kern w:val="0"/>
                <w:sz w:val="18"/>
                <w:szCs w:val="18"/>
                <w14:ligatures w14:val="none"/>
              </w:rPr>
              <w:t>)</w:t>
            </w:r>
          </w:p>
        </w:tc>
        <w:tc>
          <w:tcPr>
            <w:tcW w:w="4463" w:type="dxa"/>
            <w:tcBorders>
              <w:top w:val="single" w:sz="4" w:space="0" w:color="auto"/>
              <w:left w:val="single" w:sz="4" w:space="0" w:color="auto"/>
              <w:right w:val="single" w:sz="4" w:space="0" w:color="auto"/>
            </w:tcBorders>
            <w:shd w:val="clear" w:color="auto" w:fill="C5E0B3" w:themeFill="accent6" w:themeFillTint="66"/>
          </w:tcPr>
          <w:p w14:paraId="68A17FC8" w14:textId="77777777" w:rsidR="00116E00" w:rsidRPr="00A044E8" w:rsidRDefault="00116E00" w:rsidP="000772A0">
            <w:pPr>
              <w:rPr>
                <w:rFonts w:ascii="Calibri" w:eastAsia="Calibri" w:hAnsi="Calibri" w:cs="Calibri"/>
                <w:color w:val="000000"/>
                <w:kern w:val="0"/>
                <w:sz w:val="18"/>
                <w:szCs w:val="18"/>
                <w14:ligatures w14:val="none"/>
              </w:rPr>
            </w:pPr>
          </w:p>
        </w:tc>
      </w:tr>
      <w:tr w:rsidR="00116E00" w:rsidRPr="00A044E8" w14:paraId="1AAF9581" w14:textId="16AFF845" w:rsidTr="00116E00">
        <w:trPr>
          <w:trHeight w:val="501"/>
        </w:trPr>
        <w:tc>
          <w:tcPr>
            <w:tcW w:w="1246" w:type="dxa"/>
            <w:tcBorders>
              <w:top w:val="single" w:sz="4" w:space="0" w:color="auto"/>
              <w:left w:val="single" w:sz="4" w:space="0" w:color="auto"/>
              <w:right w:val="single" w:sz="4" w:space="0" w:color="auto"/>
            </w:tcBorders>
            <w:shd w:val="clear" w:color="auto" w:fill="A4E9F0"/>
            <w:tcMar>
              <w:top w:w="29" w:type="dxa"/>
              <w:left w:w="115" w:type="dxa"/>
              <w:bottom w:w="29" w:type="dxa"/>
              <w:right w:w="115" w:type="dxa"/>
            </w:tcMar>
          </w:tcPr>
          <w:p w14:paraId="2FFAF270" w14:textId="77777777" w:rsidR="00116E00" w:rsidRPr="00A044E8" w:rsidRDefault="00116E00" w:rsidP="000772A0">
            <w:pPr>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Depression</w:t>
            </w:r>
          </w:p>
        </w:tc>
        <w:tc>
          <w:tcPr>
            <w:tcW w:w="3314" w:type="dxa"/>
            <w:tcBorders>
              <w:top w:val="single" w:sz="4" w:space="0" w:color="auto"/>
              <w:left w:val="single" w:sz="4" w:space="0" w:color="auto"/>
              <w:right w:val="single" w:sz="4" w:space="0" w:color="auto"/>
            </w:tcBorders>
            <w:shd w:val="clear" w:color="auto" w:fill="A4E9F0"/>
            <w:tcMar>
              <w:top w:w="29" w:type="dxa"/>
              <w:left w:w="115" w:type="dxa"/>
              <w:bottom w:w="29" w:type="dxa"/>
              <w:right w:w="115" w:type="dxa"/>
            </w:tcMar>
          </w:tcPr>
          <w:p w14:paraId="49337274" w14:textId="6F8B2349" w:rsidR="00116E00" w:rsidRPr="00A044E8" w:rsidRDefault="00116E00" w:rsidP="000772A0">
            <w:pPr>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HDRS</w:t>
            </w:r>
          </w:p>
        </w:tc>
        <w:tc>
          <w:tcPr>
            <w:tcW w:w="4649" w:type="dxa"/>
            <w:tcBorders>
              <w:top w:val="single" w:sz="4" w:space="0" w:color="auto"/>
              <w:left w:val="single" w:sz="4" w:space="0" w:color="auto"/>
              <w:right w:val="single" w:sz="4" w:space="0" w:color="auto"/>
            </w:tcBorders>
            <w:shd w:val="clear" w:color="auto" w:fill="A4E9F0"/>
            <w:tcMar>
              <w:top w:w="29" w:type="dxa"/>
              <w:left w:w="115" w:type="dxa"/>
              <w:bottom w:w="29" w:type="dxa"/>
              <w:right w:w="115" w:type="dxa"/>
            </w:tcMar>
          </w:tcPr>
          <w:p w14:paraId="55BA95B8" w14:textId="2AE26C0A" w:rsidR="00116E00" w:rsidRPr="00A044E8" w:rsidRDefault="00116E00" w:rsidP="000772A0">
            <w:pPr>
              <w:spacing w:after="0" w:line="240" w:lineRule="auto"/>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HDRS-6: 3-6.2 points (</w:t>
            </w:r>
            <w:proofErr w:type="spellStart"/>
            <w:r w:rsidRPr="00A044E8">
              <w:fldChar w:fldCharType="begin"/>
            </w:r>
            <w:r w:rsidRPr="00A044E8">
              <w:instrText>HYPERLINK "https://pubmed.ncbi.nlm.nih.gov/33593736/"</w:instrText>
            </w:r>
            <w:r w:rsidRPr="00A044E8">
              <w:fldChar w:fldCharType="separate"/>
            </w:r>
            <w:r w:rsidRPr="00A044E8">
              <w:rPr>
                <w:rStyle w:val="Hyperlink"/>
                <w:rFonts w:ascii="Calibri" w:eastAsia="Calibri" w:hAnsi="Calibri" w:cs="Calibri"/>
                <w:kern w:val="0"/>
                <w:sz w:val="18"/>
                <w:szCs w:val="18"/>
                <w14:ligatures w14:val="none"/>
              </w:rPr>
              <w:t>Hengartner</w:t>
            </w:r>
            <w:proofErr w:type="spellEnd"/>
            <w:r w:rsidRPr="00A044E8">
              <w:rPr>
                <w:rStyle w:val="Hyperlink"/>
                <w:rFonts w:ascii="Calibri" w:eastAsia="Calibri" w:hAnsi="Calibri" w:cs="Calibri"/>
                <w:kern w:val="0"/>
                <w:sz w:val="18"/>
                <w:szCs w:val="18"/>
                <w14:ligatures w14:val="none"/>
              </w:rPr>
              <w:t xml:space="preserve"> &amp; </w:t>
            </w:r>
            <w:proofErr w:type="spellStart"/>
            <w:r w:rsidRPr="00A044E8">
              <w:rPr>
                <w:rStyle w:val="Hyperlink"/>
                <w:rFonts w:ascii="Calibri" w:eastAsia="Calibri" w:hAnsi="Calibri" w:cs="Calibri"/>
                <w:kern w:val="0"/>
                <w:sz w:val="18"/>
                <w:szCs w:val="18"/>
                <w14:ligatures w14:val="none"/>
              </w:rPr>
              <w:t>Plöderl</w:t>
            </w:r>
            <w:proofErr w:type="spellEnd"/>
            <w:r w:rsidRPr="00A044E8">
              <w:rPr>
                <w:rStyle w:val="Hyperlink"/>
                <w:rFonts w:ascii="Calibri" w:eastAsia="Calibri" w:hAnsi="Calibri" w:cs="Calibri"/>
                <w:kern w:val="0"/>
                <w:sz w:val="18"/>
                <w:szCs w:val="18"/>
                <w14:ligatures w14:val="none"/>
              </w:rPr>
              <w:t>, 2022</w:t>
            </w:r>
            <w:r w:rsidRPr="00A044E8">
              <w:fldChar w:fldCharType="end"/>
            </w:r>
            <w:r w:rsidRPr="00A044E8">
              <w:rPr>
                <w:rFonts w:ascii="Calibri" w:eastAsia="Calibri" w:hAnsi="Calibri" w:cs="Calibri"/>
                <w:color w:val="000000"/>
                <w:kern w:val="0"/>
                <w:sz w:val="18"/>
                <w:szCs w:val="18"/>
                <w14:ligatures w14:val="none"/>
              </w:rPr>
              <w:t>)</w:t>
            </w:r>
          </w:p>
          <w:p w14:paraId="720E9BEB" w14:textId="7736D558" w:rsidR="00116E00" w:rsidRPr="00A044E8" w:rsidRDefault="00116E00" w:rsidP="000772A0">
            <w:pPr>
              <w:spacing w:after="0" w:line="240" w:lineRule="auto"/>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HDRS-17: 3-6 points (</w:t>
            </w:r>
            <w:proofErr w:type="spellStart"/>
            <w:r w:rsidRPr="00A044E8">
              <w:fldChar w:fldCharType="begin"/>
            </w:r>
            <w:r w:rsidRPr="00A044E8">
              <w:instrText>HYPERLINK "https://pubmed.ncbi.nlm.nih.gov/33593736/"</w:instrText>
            </w:r>
            <w:r w:rsidRPr="00A044E8">
              <w:fldChar w:fldCharType="separate"/>
            </w:r>
            <w:r w:rsidRPr="00A044E8">
              <w:rPr>
                <w:rStyle w:val="Hyperlink"/>
                <w:rFonts w:ascii="Calibri" w:eastAsia="Calibri" w:hAnsi="Calibri" w:cs="Calibri"/>
                <w:kern w:val="0"/>
                <w:sz w:val="18"/>
                <w:szCs w:val="18"/>
                <w14:ligatures w14:val="none"/>
              </w:rPr>
              <w:t>Hengartner</w:t>
            </w:r>
            <w:proofErr w:type="spellEnd"/>
            <w:r w:rsidRPr="00A044E8">
              <w:rPr>
                <w:rStyle w:val="Hyperlink"/>
                <w:rFonts w:ascii="Calibri" w:eastAsia="Calibri" w:hAnsi="Calibri" w:cs="Calibri"/>
                <w:kern w:val="0"/>
                <w:sz w:val="18"/>
                <w:szCs w:val="18"/>
                <w14:ligatures w14:val="none"/>
              </w:rPr>
              <w:t xml:space="preserve"> &amp; </w:t>
            </w:r>
            <w:proofErr w:type="spellStart"/>
            <w:r w:rsidRPr="00A044E8">
              <w:rPr>
                <w:rStyle w:val="Hyperlink"/>
                <w:rFonts w:ascii="Calibri" w:eastAsia="Calibri" w:hAnsi="Calibri" w:cs="Calibri"/>
                <w:kern w:val="0"/>
                <w:sz w:val="18"/>
                <w:szCs w:val="18"/>
                <w14:ligatures w14:val="none"/>
              </w:rPr>
              <w:t>Plöderl</w:t>
            </w:r>
            <w:proofErr w:type="spellEnd"/>
            <w:r w:rsidRPr="00A044E8">
              <w:rPr>
                <w:rStyle w:val="Hyperlink"/>
                <w:rFonts w:ascii="Calibri" w:eastAsia="Calibri" w:hAnsi="Calibri" w:cs="Calibri"/>
                <w:kern w:val="0"/>
                <w:sz w:val="18"/>
                <w:szCs w:val="18"/>
                <w14:ligatures w14:val="none"/>
              </w:rPr>
              <w:t>, 2022</w:t>
            </w:r>
            <w:r w:rsidRPr="00A044E8">
              <w:fldChar w:fldCharType="end"/>
            </w:r>
            <w:r w:rsidRPr="00A044E8">
              <w:rPr>
                <w:rFonts w:ascii="Calibri" w:eastAsia="Calibri" w:hAnsi="Calibri" w:cs="Calibri"/>
                <w:color w:val="000000"/>
                <w:kern w:val="0"/>
                <w:sz w:val="18"/>
                <w:szCs w:val="18"/>
                <w14:ligatures w14:val="none"/>
              </w:rPr>
              <w:t>)</w:t>
            </w:r>
          </w:p>
          <w:p w14:paraId="35806BAD" w14:textId="1A4A0AC3" w:rsidR="00116E00" w:rsidRPr="00A044E8" w:rsidRDefault="00116E00" w:rsidP="00F16F90">
            <w:pPr>
              <w:spacing w:after="0" w:line="240" w:lineRule="auto"/>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 xml:space="preserve">These estimates are from 4 studies conducted in the U.S., Germany and Japan. Estimates varied depending on the clinical scale used as an anchor and whether between- or within-patient differences were being considered </w:t>
            </w:r>
          </w:p>
        </w:tc>
        <w:tc>
          <w:tcPr>
            <w:tcW w:w="4463" w:type="dxa"/>
            <w:tcBorders>
              <w:top w:val="single" w:sz="4" w:space="0" w:color="auto"/>
              <w:left w:val="single" w:sz="4" w:space="0" w:color="auto"/>
              <w:right w:val="single" w:sz="4" w:space="0" w:color="auto"/>
            </w:tcBorders>
            <w:shd w:val="clear" w:color="auto" w:fill="A4E9F0"/>
          </w:tcPr>
          <w:p w14:paraId="77D43605" w14:textId="77777777" w:rsidR="00116E00" w:rsidRPr="00A044E8" w:rsidRDefault="00116E00" w:rsidP="000772A0">
            <w:pPr>
              <w:spacing w:after="0" w:line="240" w:lineRule="auto"/>
              <w:rPr>
                <w:rFonts w:ascii="Calibri" w:eastAsia="Calibri" w:hAnsi="Calibri" w:cs="Calibri"/>
                <w:color w:val="000000"/>
                <w:kern w:val="0"/>
                <w:sz w:val="18"/>
                <w:szCs w:val="18"/>
                <w14:ligatures w14:val="none"/>
              </w:rPr>
            </w:pPr>
          </w:p>
        </w:tc>
      </w:tr>
      <w:tr w:rsidR="00116E00" w:rsidRPr="00A044E8" w14:paraId="7D3EADFA" w14:textId="23295E8C" w:rsidTr="00116E00">
        <w:trPr>
          <w:trHeight w:val="600"/>
        </w:trPr>
        <w:tc>
          <w:tcPr>
            <w:tcW w:w="1246" w:type="dxa"/>
            <w:tcBorders>
              <w:top w:val="single" w:sz="4" w:space="0" w:color="auto"/>
              <w:left w:val="single" w:sz="4" w:space="0" w:color="auto"/>
              <w:right w:val="single" w:sz="4" w:space="0" w:color="auto"/>
            </w:tcBorders>
            <w:shd w:val="clear" w:color="auto" w:fill="auto"/>
            <w:tcMar>
              <w:top w:w="29" w:type="dxa"/>
              <w:left w:w="115" w:type="dxa"/>
              <w:bottom w:w="29" w:type="dxa"/>
              <w:right w:w="115" w:type="dxa"/>
            </w:tcMar>
          </w:tcPr>
          <w:p w14:paraId="36E0E69E" w14:textId="0FF28070" w:rsidR="00116E00" w:rsidRPr="00A044E8" w:rsidRDefault="00116E00" w:rsidP="00227428">
            <w:pPr>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Motor-related ADL</w:t>
            </w:r>
          </w:p>
        </w:tc>
        <w:tc>
          <w:tcPr>
            <w:tcW w:w="3314" w:type="dxa"/>
            <w:tcBorders>
              <w:top w:val="single" w:sz="4" w:space="0" w:color="auto"/>
              <w:left w:val="single" w:sz="4" w:space="0" w:color="auto"/>
              <w:bottom w:val="single" w:sz="4" w:space="0" w:color="auto"/>
              <w:right w:val="single" w:sz="4" w:space="0" w:color="auto"/>
            </w:tcBorders>
            <w:shd w:val="clear" w:color="auto" w:fill="auto"/>
            <w:tcMar>
              <w:top w:w="29" w:type="dxa"/>
              <w:left w:w="115" w:type="dxa"/>
              <w:bottom w:w="29" w:type="dxa"/>
              <w:right w:w="115" w:type="dxa"/>
            </w:tcMar>
          </w:tcPr>
          <w:p w14:paraId="6CFC1323" w14:textId="18E03131" w:rsidR="00116E00" w:rsidRPr="00A044E8" w:rsidRDefault="00116E00" w:rsidP="00227428">
            <w:pPr>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MDS-UPDRS II</w:t>
            </w:r>
          </w:p>
        </w:tc>
        <w:tc>
          <w:tcPr>
            <w:tcW w:w="4649" w:type="dxa"/>
            <w:tcBorders>
              <w:top w:val="single" w:sz="4" w:space="0" w:color="auto"/>
              <w:left w:val="single" w:sz="4" w:space="0" w:color="auto"/>
              <w:bottom w:val="single" w:sz="4" w:space="0" w:color="auto"/>
              <w:right w:val="single" w:sz="4" w:space="0" w:color="auto"/>
            </w:tcBorders>
            <w:shd w:val="clear" w:color="auto" w:fill="auto"/>
            <w:tcMar>
              <w:top w:w="29" w:type="dxa"/>
              <w:left w:w="115" w:type="dxa"/>
              <w:bottom w:w="29" w:type="dxa"/>
              <w:right w:w="115" w:type="dxa"/>
            </w:tcMar>
          </w:tcPr>
          <w:p w14:paraId="1D771A75" w14:textId="0F1A5325" w:rsidR="00116E00" w:rsidRPr="00A044E8" w:rsidRDefault="00116E00" w:rsidP="00227428">
            <w:pPr>
              <w:rPr>
                <w:rFonts w:ascii="Calibri" w:eastAsia="Calibri" w:hAnsi="Calibri" w:cs="Calibri"/>
                <w:b/>
                <w:bCs/>
                <w:color w:val="000000"/>
                <w:kern w:val="0"/>
                <w:sz w:val="18"/>
                <w:szCs w:val="18"/>
                <w14:ligatures w14:val="none"/>
              </w:rPr>
            </w:pPr>
            <w:r w:rsidRPr="00A044E8">
              <w:rPr>
                <w:rFonts w:ascii="Calibri" w:eastAsia="Calibri" w:hAnsi="Calibri" w:cs="Calibri"/>
                <w:kern w:val="0"/>
                <w:sz w:val="18"/>
                <w:szCs w:val="18"/>
                <w14:ligatures w14:val="none"/>
              </w:rPr>
              <w:t>3.05 and 2.51 points for improvement and deterioration respectively (Hungary) (</w:t>
            </w:r>
            <w:hyperlink r:id="rId18" w:history="1">
              <w:r w:rsidRPr="00A044E8">
                <w:rPr>
                  <w:rStyle w:val="Hyperlink"/>
                  <w:rFonts w:ascii="Calibri" w:eastAsia="Calibri" w:hAnsi="Calibri" w:cs="Calibri"/>
                  <w:kern w:val="0"/>
                  <w:sz w:val="18"/>
                  <w:szCs w:val="18"/>
                  <w14:ligatures w14:val="none"/>
                </w:rPr>
                <w:t>Horváth et al., 2017a</w:t>
              </w:r>
            </w:hyperlink>
            <w:r w:rsidRPr="00A044E8">
              <w:rPr>
                <w:rFonts w:ascii="Calibri" w:eastAsia="Calibri" w:hAnsi="Calibri" w:cs="Calibri"/>
                <w:kern w:val="0"/>
                <w:sz w:val="18"/>
                <w:szCs w:val="18"/>
                <w14:ligatures w14:val="none"/>
              </w:rPr>
              <w:t>)</w:t>
            </w:r>
          </w:p>
        </w:tc>
        <w:tc>
          <w:tcPr>
            <w:tcW w:w="4463" w:type="dxa"/>
            <w:tcBorders>
              <w:top w:val="single" w:sz="4" w:space="0" w:color="auto"/>
              <w:left w:val="single" w:sz="4" w:space="0" w:color="auto"/>
              <w:bottom w:val="single" w:sz="4" w:space="0" w:color="auto"/>
              <w:right w:val="single" w:sz="4" w:space="0" w:color="auto"/>
            </w:tcBorders>
          </w:tcPr>
          <w:p w14:paraId="051CD6BD" w14:textId="77777777" w:rsidR="00116E00" w:rsidRPr="00A044E8" w:rsidRDefault="00116E00" w:rsidP="00227428">
            <w:pPr>
              <w:rPr>
                <w:rFonts w:ascii="Calibri" w:eastAsia="Calibri" w:hAnsi="Calibri" w:cs="Calibri"/>
                <w:kern w:val="0"/>
                <w:sz w:val="18"/>
                <w:szCs w:val="18"/>
                <w14:ligatures w14:val="none"/>
              </w:rPr>
            </w:pPr>
          </w:p>
        </w:tc>
      </w:tr>
      <w:tr w:rsidR="00116E00" w:rsidRPr="00A044E8" w14:paraId="3F2AC531" w14:textId="3E66B4C7" w:rsidTr="00116E00">
        <w:trPr>
          <w:trHeight w:val="600"/>
        </w:trPr>
        <w:tc>
          <w:tcPr>
            <w:tcW w:w="1246" w:type="dxa"/>
            <w:tcBorders>
              <w:top w:val="single" w:sz="4" w:space="0" w:color="auto"/>
              <w:left w:val="single" w:sz="4" w:space="0" w:color="auto"/>
              <w:right w:val="single" w:sz="4" w:space="0" w:color="auto"/>
            </w:tcBorders>
            <w:shd w:val="clear" w:color="auto" w:fill="C5E0B3" w:themeFill="accent6" w:themeFillTint="66"/>
            <w:tcMar>
              <w:top w:w="29" w:type="dxa"/>
              <w:left w:w="115" w:type="dxa"/>
              <w:bottom w:w="29" w:type="dxa"/>
              <w:right w:w="115" w:type="dxa"/>
            </w:tcMar>
          </w:tcPr>
          <w:p w14:paraId="5182A326" w14:textId="2E9F3067" w:rsidR="00116E00" w:rsidRPr="00A044E8" w:rsidRDefault="00116E00" w:rsidP="00227428">
            <w:pPr>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lastRenderedPageBreak/>
              <w:t>Motor complications</w:t>
            </w:r>
          </w:p>
        </w:tc>
        <w:tc>
          <w:tcPr>
            <w:tcW w:w="3314" w:type="dxa"/>
            <w:tcBorders>
              <w:top w:val="single" w:sz="4" w:space="0" w:color="auto"/>
              <w:left w:val="single" w:sz="4" w:space="0" w:color="auto"/>
              <w:bottom w:val="single" w:sz="4" w:space="0" w:color="auto"/>
              <w:right w:val="single" w:sz="4" w:space="0" w:color="auto"/>
            </w:tcBorders>
            <w:shd w:val="clear" w:color="auto" w:fill="C5E0B3" w:themeFill="accent6" w:themeFillTint="66"/>
            <w:tcMar>
              <w:top w:w="29" w:type="dxa"/>
              <w:left w:w="115" w:type="dxa"/>
              <w:bottom w:w="29" w:type="dxa"/>
              <w:right w:w="115" w:type="dxa"/>
            </w:tcMar>
          </w:tcPr>
          <w:p w14:paraId="1BB9C6EB" w14:textId="1096796A" w:rsidR="00116E00" w:rsidRPr="00A044E8" w:rsidRDefault="00116E00" w:rsidP="00227428">
            <w:pPr>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MDS-UPDRS IV</w:t>
            </w:r>
          </w:p>
        </w:tc>
        <w:tc>
          <w:tcPr>
            <w:tcW w:w="4649" w:type="dxa"/>
            <w:tcBorders>
              <w:top w:val="single" w:sz="4" w:space="0" w:color="auto"/>
              <w:left w:val="single" w:sz="4" w:space="0" w:color="auto"/>
              <w:bottom w:val="single" w:sz="4" w:space="0" w:color="auto"/>
              <w:right w:val="single" w:sz="4" w:space="0" w:color="auto"/>
            </w:tcBorders>
            <w:shd w:val="clear" w:color="auto" w:fill="C5E0B3" w:themeFill="accent6" w:themeFillTint="66"/>
            <w:tcMar>
              <w:top w:w="29" w:type="dxa"/>
              <w:left w:w="115" w:type="dxa"/>
              <w:bottom w:w="29" w:type="dxa"/>
              <w:right w:w="115" w:type="dxa"/>
            </w:tcMar>
          </w:tcPr>
          <w:p w14:paraId="4110DE3E" w14:textId="4FE9B383" w:rsidR="00116E00" w:rsidRPr="00A044E8" w:rsidRDefault="00116E00" w:rsidP="00227428">
            <w:pPr>
              <w:rPr>
                <w:rFonts w:ascii="Calibri" w:eastAsia="Calibri" w:hAnsi="Calibri" w:cs="Calibri"/>
                <w:color w:val="FF0000"/>
                <w:kern w:val="0"/>
                <w:sz w:val="18"/>
                <w:szCs w:val="18"/>
                <w14:ligatures w14:val="none"/>
              </w:rPr>
            </w:pPr>
            <w:r w:rsidRPr="00A044E8">
              <w:rPr>
                <w:rFonts w:ascii="Calibri" w:eastAsia="Calibri" w:hAnsi="Calibri" w:cs="Calibri"/>
                <w:kern w:val="0"/>
                <w:sz w:val="18"/>
                <w:szCs w:val="18"/>
                <w14:ligatures w14:val="none"/>
              </w:rPr>
              <w:t>0.9 and 0.8 points for improvement and worsening respectively (Hungary) (</w:t>
            </w:r>
            <w:hyperlink r:id="rId19" w:history="1">
              <w:r w:rsidRPr="00A044E8">
                <w:rPr>
                  <w:rStyle w:val="Hyperlink"/>
                  <w:rFonts w:ascii="Calibri" w:eastAsia="Calibri" w:hAnsi="Calibri" w:cs="Calibri"/>
                  <w:kern w:val="0"/>
                  <w:sz w:val="18"/>
                  <w:szCs w:val="18"/>
                  <w14:ligatures w14:val="none"/>
                </w:rPr>
                <w:t>Makkos et al., 2019</w:t>
              </w:r>
            </w:hyperlink>
            <w:r w:rsidRPr="00A044E8">
              <w:rPr>
                <w:rFonts w:ascii="Calibri" w:eastAsia="Calibri" w:hAnsi="Calibri" w:cs="Calibri"/>
                <w:kern w:val="0"/>
                <w:sz w:val="18"/>
                <w:szCs w:val="18"/>
                <w14:ligatures w14:val="none"/>
              </w:rPr>
              <w:t>)</w:t>
            </w:r>
          </w:p>
        </w:tc>
        <w:tc>
          <w:tcPr>
            <w:tcW w:w="4463"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531FEE7" w14:textId="77777777" w:rsidR="00116E00" w:rsidRPr="00A044E8" w:rsidRDefault="00116E00" w:rsidP="00227428">
            <w:pPr>
              <w:rPr>
                <w:rFonts w:ascii="Calibri" w:eastAsia="Calibri" w:hAnsi="Calibri" w:cs="Calibri"/>
                <w:kern w:val="0"/>
                <w:sz w:val="18"/>
                <w:szCs w:val="18"/>
                <w14:ligatures w14:val="none"/>
              </w:rPr>
            </w:pPr>
          </w:p>
        </w:tc>
      </w:tr>
      <w:tr w:rsidR="00116E00" w:rsidRPr="00A044E8" w14:paraId="4432B5E6" w14:textId="6A0C97C4" w:rsidTr="00116E00">
        <w:trPr>
          <w:trHeight w:val="300"/>
        </w:trPr>
        <w:tc>
          <w:tcPr>
            <w:tcW w:w="1246" w:type="dxa"/>
            <w:vMerge w:val="restart"/>
            <w:tcBorders>
              <w:top w:val="single" w:sz="4" w:space="0" w:color="auto"/>
              <w:left w:val="single" w:sz="4" w:space="0" w:color="auto"/>
              <w:right w:val="single" w:sz="4" w:space="0" w:color="auto"/>
            </w:tcBorders>
            <w:shd w:val="clear" w:color="auto" w:fill="C5E0B3" w:themeFill="accent6" w:themeFillTint="66"/>
            <w:tcMar>
              <w:top w:w="29" w:type="dxa"/>
              <w:left w:w="115" w:type="dxa"/>
              <w:bottom w:w="29" w:type="dxa"/>
              <w:right w:w="115" w:type="dxa"/>
            </w:tcMar>
          </w:tcPr>
          <w:p w14:paraId="3F1999A0" w14:textId="3D092560" w:rsidR="00116E00" w:rsidRPr="00A044E8" w:rsidRDefault="00116E00" w:rsidP="0086713F">
            <w:pPr>
              <w:spacing w:line="276" w:lineRule="auto"/>
              <w:rPr>
                <w:rFonts w:ascii="Calibri" w:eastAsia="Calibri" w:hAnsi="Calibri" w:cs="Calibri"/>
                <w:sz w:val="18"/>
                <w:szCs w:val="18"/>
              </w:rPr>
            </w:pPr>
            <w:r w:rsidRPr="00A044E8">
              <w:rPr>
                <w:rFonts w:ascii="Calibri" w:eastAsia="Calibri" w:hAnsi="Calibri" w:cs="Calibri"/>
                <w:sz w:val="18"/>
                <w:szCs w:val="18"/>
              </w:rPr>
              <w:t>Nonmotor symptoms</w:t>
            </w:r>
          </w:p>
        </w:tc>
        <w:tc>
          <w:tcPr>
            <w:tcW w:w="3314" w:type="dxa"/>
            <w:tcBorders>
              <w:top w:val="single" w:sz="4" w:space="0" w:color="auto"/>
              <w:left w:val="single" w:sz="4" w:space="0" w:color="auto"/>
              <w:bottom w:val="single" w:sz="4" w:space="0" w:color="auto"/>
              <w:right w:val="single" w:sz="4" w:space="0" w:color="auto"/>
            </w:tcBorders>
            <w:shd w:val="clear" w:color="auto" w:fill="C5E0B3" w:themeFill="accent6" w:themeFillTint="66"/>
            <w:tcMar>
              <w:top w:w="29" w:type="dxa"/>
              <w:left w:w="115" w:type="dxa"/>
              <w:bottom w:w="29" w:type="dxa"/>
              <w:right w:w="115" w:type="dxa"/>
            </w:tcMar>
          </w:tcPr>
          <w:p w14:paraId="73E90B34" w14:textId="42D71509" w:rsidR="00116E00" w:rsidRPr="00A044E8" w:rsidRDefault="00116E00" w:rsidP="00227428">
            <w:pPr>
              <w:rPr>
                <w:rFonts w:ascii="Calibri" w:eastAsia="Calibri" w:hAnsi="Calibri" w:cs="Calibri"/>
                <w:color w:val="000000"/>
                <w:kern w:val="0"/>
                <w:sz w:val="18"/>
                <w:szCs w:val="18"/>
                <w14:ligatures w14:val="none"/>
              </w:rPr>
            </w:pPr>
            <w:r w:rsidRPr="00A044E8">
              <w:rPr>
                <w:rFonts w:ascii="Calibri" w:eastAsia="Calibri" w:hAnsi="Calibri" w:cs="Calibri"/>
                <w:sz w:val="18"/>
                <w:szCs w:val="18"/>
              </w:rPr>
              <w:t xml:space="preserve">MDS-UPDRS-I </w:t>
            </w:r>
          </w:p>
          <w:p w14:paraId="5F206616" w14:textId="7438EE6B" w:rsidR="00116E00" w:rsidRPr="00A044E8" w:rsidRDefault="00116E00" w:rsidP="00227428">
            <w:pPr>
              <w:rPr>
                <w:rFonts w:ascii="Calibri" w:eastAsia="Calibri" w:hAnsi="Calibri" w:cs="Calibri"/>
                <w:kern w:val="0"/>
                <w:sz w:val="18"/>
                <w:szCs w:val="18"/>
                <w14:ligatures w14:val="none"/>
              </w:rPr>
            </w:pPr>
          </w:p>
        </w:tc>
        <w:tc>
          <w:tcPr>
            <w:tcW w:w="4649"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61DE6FA" w14:textId="7C429A1F" w:rsidR="00116E00" w:rsidRPr="00A044E8" w:rsidRDefault="00116E00" w:rsidP="00227428">
            <w:pPr>
              <w:rPr>
                <w:rFonts w:ascii="Calibri" w:eastAsia="Calibri" w:hAnsi="Calibri" w:cs="Calibri"/>
                <w:color w:val="FF0000"/>
                <w:kern w:val="0"/>
                <w:sz w:val="18"/>
                <w:szCs w:val="18"/>
                <w14:ligatures w14:val="none"/>
              </w:rPr>
            </w:pPr>
            <w:r w:rsidRPr="00A044E8">
              <w:rPr>
                <w:rFonts w:ascii="Calibri" w:eastAsia="Calibri" w:hAnsi="Calibri" w:cs="Calibri"/>
                <w:color w:val="000000" w:themeColor="text1"/>
                <w:kern w:val="0"/>
                <w:sz w:val="18"/>
                <w:szCs w:val="18"/>
                <w14:ligatures w14:val="none"/>
              </w:rPr>
              <w:t>2.64</w:t>
            </w:r>
            <w:r w:rsidRPr="00A044E8">
              <w:rPr>
                <w:rFonts w:ascii="Calibri" w:eastAsia="Calibri" w:hAnsi="Calibri" w:cs="Calibri"/>
                <w:kern w:val="0"/>
                <w:sz w:val="18"/>
                <w:szCs w:val="18"/>
                <w14:ligatures w14:val="none"/>
              </w:rPr>
              <w:t xml:space="preserve"> and 2.45 points for improvement and deterioration respectively (Hungary) (</w:t>
            </w:r>
            <w:hyperlink r:id="rId20" w:history="1">
              <w:r w:rsidRPr="00A044E8">
                <w:rPr>
                  <w:rStyle w:val="Hyperlink"/>
                  <w:rFonts w:ascii="Calibri" w:eastAsia="Calibri" w:hAnsi="Calibri" w:cs="Calibri"/>
                  <w:kern w:val="0"/>
                  <w:sz w:val="18"/>
                  <w:szCs w:val="18"/>
                  <w14:ligatures w14:val="none"/>
                </w:rPr>
                <w:t>Horváth et al., 2017a</w:t>
              </w:r>
            </w:hyperlink>
            <w:r w:rsidRPr="00A044E8">
              <w:rPr>
                <w:rFonts w:ascii="Calibri" w:eastAsia="Calibri" w:hAnsi="Calibri" w:cs="Calibri"/>
                <w:kern w:val="0"/>
                <w:sz w:val="18"/>
                <w:szCs w:val="18"/>
                <w14:ligatures w14:val="none"/>
              </w:rPr>
              <w:t>)</w:t>
            </w:r>
          </w:p>
        </w:tc>
        <w:tc>
          <w:tcPr>
            <w:tcW w:w="4463"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0272EB9" w14:textId="77777777" w:rsidR="00116E00" w:rsidRPr="00A044E8" w:rsidRDefault="00116E00" w:rsidP="00227428">
            <w:pPr>
              <w:rPr>
                <w:rFonts w:ascii="Calibri" w:eastAsia="Calibri" w:hAnsi="Calibri" w:cs="Calibri"/>
                <w:color w:val="000000" w:themeColor="text1"/>
                <w:kern w:val="0"/>
                <w:sz w:val="18"/>
                <w:szCs w:val="18"/>
                <w14:ligatures w14:val="none"/>
              </w:rPr>
            </w:pPr>
          </w:p>
        </w:tc>
      </w:tr>
      <w:tr w:rsidR="00116E00" w:rsidRPr="00A044E8" w14:paraId="52553FC4" w14:textId="7A380DA0" w:rsidTr="00116E00">
        <w:trPr>
          <w:trHeight w:val="300"/>
        </w:trPr>
        <w:tc>
          <w:tcPr>
            <w:tcW w:w="1246" w:type="dxa"/>
            <w:vMerge/>
            <w:tcBorders>
              <w:left w:val="single" w:sz="4" w:space="0" w:color="auto"/>
              <w:right w:val="single" w:sz="4" w:space="0" w:color="auto"/>
            </w:tcBorders>
            <w:shd w:val="clear" w:color="auto" w:fill="C5E0B3" w:themeFill="accent6" w:themeFillTint="66"/>
            <w:tcMar>
              <w:top w:w="29" w:type="dxa"/>
              <w:left w:w="115" w:type="dxa"/>
              <w:bottom w:w="29" w:type="dxa"/>
              <w:right w:w="115" w:type="dxa"/>
            </w:tcMar>
          </w:tcPr>
          <w:p w14:paraId="1C66802E" w14:textId="77777777" w:rsidR="00116E00" w:rsidRPr="00A044E8" w:rsidRDefault="00116E00" w:rsidP="0086713F">
            <w:pPr>
              <w:spacing w:line="276" w:lineRule="auto"/>
              <w:rPr>
                <w:rFonts w:ascii="Calibri" w:eastAsia="Calibri" w:hAnsi="Calibri" w:cs="Calibri"/>
                <w:sz w:val="18"/>
                <w:szCs w:val="18"/>
              </w:rPr>
            </w:pPr>
          </w:p>
        </w:tc>
        <w:tc>
          <w:tcPr>
            <w:tcW w:w="3314" w:type="dxa"/>
            <w:tcBorders>
              <w:top w:val="single" w:sz="4" w:space="0" w:color="auto"/>
              <w:left w:val="single" w:sz="4" w:space="0" w:color="auto"/>
              <w:bottom w:val="single" w:sz="4" w:space="0" w:color="auto"/>
              <w:right w:val="single" w:sz="4" w:space="0" w:color="auto"/>
            </w:tcBorders>
            <w:shd w:val="clear" w:color="auto" w:fill="C5E0B3" w:themeFill="accent6" w:themeFillTint="66"/>
            <w:tcMar>
              <w:top w:w="29" w:type="dxa"/>
              <w:left w:w="115" w:type="dxa"/>
              <w:bottom w:w="29" w:type="dxa"/>
              <w:right w:w="115" w:type="dxa"/>
            </w:tcMar>
          </w:tcPr>
          <w:p w14:paraId="4659008A" w14:textId="598D6F59" w:rsidR="00116E00" w:rsidRPr="00A044E8" w:rsidRDefault="00116E00" w:rsidP="00227428">
            <w:pPr>
              <w:rPr>
                <w:rFonts w:ascii="Calibri" w:eastAsia="Calibri" w:hAnsi="Calibri" w:cs="Calibri"/>
                <w:sz w:val="18"/>
                <w:szCs w:val="18"/>
              </w:rPr>
            </w:pPr>
            <w:r w:rsidRPr="00A044E8">
              <w:rPr>
                <w:rFonts w:ascii="Calibri" w:eastAsia="Calibri" w:hAnsi="Calibri" w:cs="Calibri"/>
                <w:kern w:val="0"/>
                <w:sz w:val="18"/>
                <w:szCs w:val="18"/>
                <w14:ligatures w14:val="none"/>
              </w:rPr>
              <w:t>MDS-NMSS</w:t>
            </w:r>
          </w:p>
        </w:tc>
        <w:tc>
          <w:tcPr>
            <w:tcW w:w="4649"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350157E" w14:textId="74F56D11" w:rsidR="00116E00" w:rsidRPr="00A044E8" w:rsidRDefault="00116E00" w:rsidP="00227428">
            <w:pPr>
              <w:rPr>
                <w:rFonts w:ascii="Calibri" w:eastAsia="Calibri" w:hAnsi="Calibri" w:cs="Calibri"/>
                <w:sz w:val="18"/>
                <w:szCs w:val="18"/>
              </w:rPr>
            </w:pPr>
            <w:r w:rsidRPr="00A044E8">
              <w:rPr>
                <w:rFonts w:ascii="Calibri" w:eastAsia="Calibri" w:hAnsi="Calibri" w:cs="Calibri"/>
                <w:kern w:val="0"/>
                <w:sz w:val="18"/>
                <w:szCs w:val="18"/>
                <w14:ligatures w14:val="none"/>
              </w:rPr>
              <w:t>No MCID identified</w:t>
            </w:r>
          </w:p>
        </w:tc>
        <w:tc>
          <w:tcPr>
            <w:tcW w:w="4463"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36FA996" w14:textId="77777777" w:rsidR="00116E00" w:rsidRPr="00A044E8" w:rsidRDefault="00116E00" w:rsidP="00227428">
            <w:pPr>
              <w:rPr>
                <w:rFonts w:ascii="Calibri" w:eastAsia="Calibri" w:hAnsi="Calibri" w:cs="Calibri"/>
                <w:kern w:val="0"/>
                <w:sz w:val="18"/>
                <w:szCs w:val="18"/>
                <w14:ligatures w14:val="none"/>
              </w:rPr>
            </w:pPr>
          </w:p>
        </w:tc>
      </w:tr>
      <w:tr w:rsidR="00116E00" w:rsidRPr="00A044E8" w14:paraId="48F6A47F" w14:textId="7DC9CE75" w:rsidTr="00116E00">
        <w:trPr>
          <w:trHeight w:val="339"/>
        </w:trPr>
        <w:tc>
          <w:tcPr>
            <w:tcW w:w="9209" w:type="dxa"/>
            <w:gridSpan w:val="3"/>
            <w:tcBorders>
              <w:top w:val="single" w:sz="4" w:space="0" w:color="auto"/>
              <w:left w:val="single" w:sz="4" w:space="0" w:color="auto"/>
              <w:bottom w:val="single" w:sz="4" w:space="0" w:color="auto"/>
              <w:right w:val="single" w:sz="4" w:space="0" w:color="auto"/>
            </w:tcBorders>
            <w:shd w:val="clear" w:color="auto" w:fill="BDD6EE" w:themeFill="accent5" w:themeFillTint="66"/>
            <w:tcMar>
              <w:top w:w="29" w:type="dxa"/>
              <w:left w:w="115" w:type="dxa"/>
              <w:bottom w:w="29" w:type="dxa"/>
              <w:right w:w="115" w:type="dxa"/>
            </w:tcMar>
            <w:vAlign w:val="center"/>
          </w:tcPr>
          <w:p w14:paraId="5A59FAC8" w14:textId="77777777" w:rsidR="00116E00" w:rsidRPr="00A044E8" w:rsidRDefault="00116E00" w:rsidP="00227428">
            <w:pPr>
              <w:rPr>
                <w:rFonts w:ascii="Calibri" w:eastAsia="Calibri" w:hAnsi="Calibri" w:cs="Calibri"/>
                <w:b/>
                <w:bCs/>
                <w:color w:val="000000"/>
                <w:kern w:val="0"/>
                <w:sz w:val="18"/>
                <w:szCs w:val="18"/>
                <w14:ligatures w14:val="none"/>
              </w:rPr>
            </w:pPr>
            <w:r w:rsidRPr="00A044E8">
              <w:rPr>
                <w:rFonts w:ascii="Calibri" w:eastAsia="Calibri" w:hAnsi="Calibri" w:cs="Calibri"/>
                <w:b/>
                <w:bCs/>
                <w:color w:val="000000"/>
                <w:kern w:val="0"/>
                <w:sz w:val="18"/>
                <w:szCs w:val="18"/>
                <w14:ligatures w14:val="none"/>
              </w:rPr>
              <w:t>Domain: Patient-Reported Outcomes</w:t>
            </w:r>
          </w:p>
        </w:tc>
        <w:tc>
          <w:tcPr>
            <w:tcW w:w="4463"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42025F15" w14:textId="77777777" w:rsidR="00116E00" w:rsidRPr="00A044E8" w:rsidRDefault="00116E00" w:rsidP="00227428">
            <w:pPr>
              <w:rPr>
                <w:rFonts w:ascii="Calibri" w:eastAsia="Calibri" w:hAnsi="Calibri" w:cs="Calibri"/>
                <w:b/>
                <w:bCs/>
                <w:color w:val="000000"/>
                <w:kern w:val="0"/>
                <w:sz w:val="18"/>
                <w:szCs w:val="18"/>
                <w14:ligatures w14:val="none"/>
              </w:rPr>
            </w:pPr>
          </w:p>
        </w:tc>
      </w:tr>
      <w:tr w:rsidR="00116E00" w:rsidRPr="00A044E8" w14:paraId="253FB362" w14:textId="700676C7" w:rsidTr="00116E00">
        <w:trPr>
          <w:trHeight w:val="609"/>
        </w:trPr>
        <w:tc>
          <w:tcPr>
            <w:tcW w:w="1246" w:type="dxa"/>
            <w:tcBorders>
              <w:top w:val="single" w:sz="4" w:space="0" w:color="auto"/>
              <w:left w:val="single" w:sz="4" w:space="0" w:color="auto"/>
              <w:bottom w:val="single" w:sz="4" w:space="0" w:color="auto"/>
              <w:right w:val="single" w:sz="4" w:space="0" w:color="auto"/>
            </w:tcBorders>
            <w:shd w:val="clear" w:color="auto" w:fill="auto"/>
            <w:tcMar>
              <w:top w:w="29" w:type="dxa"/>
              <w:left w:w="115" w:type="dxa"/>
              <w:bottom w:w="29" w:type="dxa"/>
              <w:right w:w="115" w:type="dxa"/>
            </w:tcMar>
          </w:tcPr>
          <w:p w14:paraId="39116DCF" w14:textId="77777777" w:rsidR="00116E00" w:rsidRPr="00A044E8" w:rsidRDefault="00116E00" w:rsidP="00227428">
            <w:pPr>
              <w:rPr>
                <w:rFonts w:ascii="Calibri" w:eastAsia="Calibri" w:hAnsi="Calibri" w:cs="Calibri"/>
                <w:kern w:val="0"/>
                <w:sz w:val="18"/>
                <w:szCs w:val="18"/>
                <w14:ligatures w14:val="none"/>
              </w:rPr>
            </w:pPr>
            <w:r w:rsidRPr="00A044E8">
              <w:rPr>
                <w:rFonts w:ascii="Calibri" w:eastAsia="Calibri" w:hAnsi="Calibri" w:cs="Calibri"/>
                <w:kern w:val="0"/>
                <w:sz w:val="18"/>
                <w:szCs w:val="18"/>
                <w14:ligatures w14:val="none"/>
              </w:rPr>
              <w:t>QoL</w:t>
            </w:r>
          </w:p>
        </w:tc>
        <w:tc>
          <w:tcPr>
            <w:tcW w:w="3314" w:type="dxa"/>
            <w:tcBorders>
              <w:top w:val="single" w:sz="4" w:space="0" w:color="auto"/>
              <w:left w:val="single" w:sz="4" w:space="0" w:color="auto"/>
              <w:bottom w:val="single" w:sz="4" w:space="0" w:color="auto"/>
              <w:right w:val="single" w:sz="4" w:space="0" w:color="auto"/>
            </w:tcBorders>
            <w:shd w:val="clear" w:color="auto" w:fill="auto"/>
            <w:tcMar>
              <w:top w:w="29" w:type="dxa"/>
              <w:left w:w="115" w:type="dxa"/>
              <w:bottom w:w="29" w:type="dxa"/>
              <w:right w:w="115" w:type="dxa"/>
            </w:tcMar>
          </w:tcPr>
          <w:p w14:paraId="6CAE7796" w14:textId="77777777" w:rsidR="00116E00" w:rsidRPr="00A044E8" w:rsidRDefault="00116E00" w:rsidP="00227428">
            <w:pPr>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PDQ-39</w:t>
            </w:r>
          </w:p>
        </w:tc>
        <w:tc>
          <w:tcPr>
            <w:tcW w:w="4649" w:type="dxa"/>
            <w:tcBorders>
              <w:top w:val="single" w:sz="4" w:space="0" w:color="auto"/>
              <w:left w:val="single" w:sz="4" w:space="0" w:color="auto"/>
              <w:bottom w:val="single" w:sz="4" w:space="0" w:color="auto"/>
              <w:right w:val="single" w:sz="4" w:space="0" w:color="auto"/>
            </w:tcBorders>
            <w:shd w:val="clear" w:color="auto" w:fill="auto"/>
            <w:tcMar>
              <w:top w:w="29" w:type="dxa"/>
              <w:left w:w="115" w:type="dxa"/>
              <w:bottom w:w="29" w:type="dxa"/>
              <w:right w:w="115" w:type="dxa"/>
            </w:tcMar>
          </w:tcPr>
          <w:p w14:paraId="7C2EAA14" w14:textId="1E7FB43C" w:rsidR="00116E00" w:rsidRPr="00A044E8" w:rsidRDefault="00116E00" w:rsidP="00227428">
            <w:pPr>
              <w:rPr>
                <w:rFonts w:ascii="Calibri" w:eastAsia="Calibri" w:hAnsi="Calibri" w:cs="Calibri"/>
                <w:color w:val="000000"/>
                <w:kern w:val="0"/>
                <w:sz w:val="18"/>
                <w:szCs w:val="18"/>
                <w14:ligatures w14:val="none"/>
              </w:rPr>
            </w:pPr>
            <w:r w:rsidRPr="00A044E8">
              <w:rPr>
                <w:rFonts w:ascii="Calibri" w:eastAsia="Calibri" w:hAnsi="Calibri" w:cs="Calibri"/>
                <w:kern w:val="0"/>
                <w:sz w:val="18"/>
                <w:szCs w:val="18"/>
                <w14:ligatures w14:val="none"/>
              </w:rPr>
              <w:t>For summary indices:  -4.72 and +4.22 for detecting minimal clinically important improvement and worsening respectively  (Hungary) (Hungary) (</w:t>
            </w:r>
            <w:hyperlink r:id="rId21" w:history="1">
              <w:r w:rsidRPr="00A044E8">
                <w:rPr>
                  <w:rStyle w:val="Hyperlink"/>
                  <w:rFonts w:ascii="Calibri" w:eastAsia="Calibri" w:hAnsi="Calibri" w:cs="Calibri"/>
                  <w:kern w:val="0"/>
                  <w:sz w:val="18"/>
                  <w:szCs w:val="18"/>
                  <w14:ligatures w14:val="none"/>
                </w:rPr>
                <w:t>Horváth et al., 2017b</w:t>
              </w:r>
            </w:hyperlink>
            <w:r w:rsidRPr="00A044E8">
              <w:rPr>
                <w:rFonts w:ascii="Calibri" w:eastAsia="Calibri" w:hAnsi="Calibri" w:cs="Calibri"/>
                <w:kern w:val="0"/>
                <w:sz w:val="18"/>
                <w:szCs w:val="18"/>
                <w14:ligatures w14:val="none"/>
              </w:rPr>
              <w:t>)</w:t>
            </w:r>
          </w:p>
        </w:tc>
        <w:tc>
          <w:tcPr>
            <w:tcW w:w="4463" w:type="dxa"/>
            <w:tcBorders>
              <w:top w:val="single" w:sz="4" w:space="0" w:color="auto"/>
              <w:left w:val="single" w:sz="4" w:space="0" w:color="auto"/>
              <w:bottom w:val="single" w:sz="4" w:space="0" w:color="auto"/>
              <w:right w:val="single" w:sz="4" w:space="0" w:color="auto"/>
            </w:tcBorders>
          </w:tcPr>
          <w:p w14:paraId="43079B71" w14:textId="77777777" w:rsidR="00116E00" w:rsidRPr="00A044E8" w:rsidRDefault="00116E00" w:rsidP="00227428">
            <w:pPr>
              <w:rPr>
                <w:rFonts w:ascii="Calibri" w:eastAsia="Calibri" w:hAnsi="Calibri" w:cs="Calibri"/>
                <w:kern w:val="0"/>
                <w:sz w:val="18"/>
                <w:szCs w:val="18"/>
                <w14:ligatures w14:val="none"/>
              </w:rPr>
            </w:pPr>
          </w:p>
        </w:tc>
      </w:tr>
      <w:tr w:rsidR="00116E00" w:rsidRPr="00A044E8" w14:paraId="013C7446" w14:textId="15E30E4D" w:rsidTr="00116E00">
        <w:trPr>
          <w:trHeight w:val="231"/>
        </w:trPr>
        <w:tc>
          <w:tcPr>
            <w:tcW w:w="1246" w:type="dxa"/>
            <w:tcBorders>
              <w:top w:val="single" w:sz="4" w:space="0" w:color="auto"/>
              <w:left w:val="single" w:sz="4" w:space="0" w:color="auto"/>
              <w:bottom w:val="single" w:sz="4" w:space="0" w:color="auto"/>
              <w:right w:val="single" w:sz="4" w:space="0" w:color="auto"/>
            </w:tcBorders>
            <w:shd w:val="clear" w:color="auto" w:fill="C5E0B3" w:themeFill="accent6" w:themeFillTint="66"/>
            <w:tcMar>
              <w:top w:w="29" w:type="dxa"/>
              <w:left w:w="115" w:type="dxa"/>
              <w:bottom w:w="29" w:type="dxa"/>
              <w:right w:w="115" w:type="dxa"/>
            </w:tcMar>
            <w:vAlign w:val="center"/>
          </w:tcPr>
          <w:p w14:paraId="475546A7" w14:textId="55BA88EE" w:rsidR="00116E00" w:rsidRPr="00A044E8" w:rsidRDefault="00116E00" w:rsidP="00782682">
            <w:pPr>
              <w:rPr>
                <w:rFonts w:ascii="Calibri" w:eastAsia="Calibri" w:hAnsi="Calibri" w:cs="Calibri"/>
                <w:kern w:val="0"/>
                <w:sz w:val="18"/>
                <w:szCs w:val="18"/>
                <w14:ligatures w14:val="none"/>
              </w:rPr>
            </w:pPr>
            <w:r w:rsidRPr="00A044E8">
              <w:rPr>
                <w:rFonts w:ascii="Calibri" w:eastAsia="Calibri" w:hAnsi="Calibri" w:cs="Calibri"/>
                <w:sz w:val="18"/>
                <w:szCs w:val="18"/>
              </w:rPr>
              <w:t>Sleep quality (10%)</w:t>
            </w:r>
          </w:p>
        </w:tc>
        <w:tc>
          <w:tcPr>
            <w:tcW w:w="3314" w:type="dxa"/>
            <w:tcBorders>
              <w:top w:val="single" w:sz="4" w:space="0" w:color="auto"/>
              <w:left w:val="single" w:sz="4" w:space="0" w:color="auto"/>
              <w:bottom w:val="single" w:sz="4" w:space="0" w:color="auto"/>
              <w:right w:val="single" w:sz="4" w:space="0" w:color="auto"/>
            </w:tcBorders>
            <w:shd w:val="clear" w:color="auto" w:fill="C5E0B3" w:themeFill="accent6" w:themeFillTint="66"/>
            <w:tcMar>
              <w:top w:w="29" w:type="dxa"/>
              <w:left w:w="115" w:type="dxa"/>
              <w:bottom w:w="29" w:type="dxa"/>
              <w:right w:w="115" w:type="dxa"/>
            </w:tcMar>
            <w:vAlign w:val="center"/>
          </w:tcPr>
          <w:p w14:paraId="2D84497D" w14:textId="6F9CBE06" w:rsidR="00116E00" w:rsidRPr="00A044E8" w:rsidRDefault="00116E00" w:rsidP="00782682">
            <w:pPr>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PDSS-2</w:t>
            </w:r>
          </w:p>
        </w:tc>
        <w:tc>
          <w:tcPr>
            <w:tcW w:w="4649" w:type="dxa"/>
            <w:tcBorders>
              <w:top w:val="single" w:sz="4" w:space="0" w:color="auto"/>
              <w:left w:val="single" w:sz="4" w:space="0" w:color="auto"/>
              <w:bottom w:val="single" w:sz="4" w:space="0" w:color="auto"/>
              <w:right w:val="single" w:sz="4" w:space="0" w:color="auto"/>
            </w:tcBorders>
            <w:shd w:val="clear" w:color="auto" w:fill="C5E0B3" w:themeFill="accent6" w:themeFillTint="66"/>
            <w:tcMar>
              <w:top w:w="29" w:type="dxa"/>
              <w:left w:w="115" w:type="dxa"/>
              <w:bottom w:w="29" w:type="dxa"/>
              <w:right w:w="115" w:type="dxa"/>
            </w:tcMar>
          </w:tcPr>
          <w:p w14:paraId="47040B90" w14:textId="04CE1940" w:rsidR="00116E00" w:rsidRPr="00A044E8" w:rsidRDefault="00116E00" w:rsidP="00782682">
            <w:pPr>
              <w:spacing w:after="0"/>
              <w:rPr>
                <w:rFonts w:ascii="Calibri" w:eastAsia="Calibri" w:hAnsi="Calibri" w:cs="Calibri"/>
                <w:kern w:val="0"/>
                <w:sz w:val="18"/>
                <w:szCs w:val="18"/>
                <w14:ligatures w14:val="none"/>
              </w:rPr>
            </w:pPr>
            <w:r w:rsidRPr="00A044E8">
              <w:rPr>
                <w:rFonts w:ascii="Calibri" w:eastAsia="Calibri" w:hAnsi="Calibri" w:cs="Calibri"/>
                <w:kern w:val="0"/>
                <w:sz w:val="18"/>
                <w:szCs w:val="18"/>
                <w14:ligatures w14:val="none"/>
              </w:rPr>
              <w:t xml:space="preserve">3.44 and 2.07 points for improvement and deterioration respectively (Hungary) </w:t>
            </w:r>
            <w:hyperlink r:id="rId22" w:history="1">
              <w:r w:rsidRPr="00A044E8">
                <w:rPr>
                  <w:rStyle w:val="Hyperlink"/>
                  <w:rFonts w:ascii="Calibri" w:eastAsia="Calibri" w:hAnsi="Calibri" w:cs="Calibri"/>
                  <w:kern w:val="0"/>
                  <w:sz w:val="18"/>
                  <w:szCs w:val="18"/>
                  <w14:ligatures w14:val="none"/>
                </w:rPr>
                <w:t>Horváth et al.,  2015b</w:t>
              </w:r>
            </w:hyperlink>
          </w:p>
        </w:tc>
        <w:tc>
          <w:tcPr>
            <w:tcW w:w="4463"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2A8680E" w14:textId="77777777" w:rsidR="00116E00" w:rsidRPr="00A044E8" w:rsidRDefault="00116E00" w:rsidP="00782682">
            <w:pPr>
              <w:spacing w:after="0"/>
              <w:rPr>
                <w:rFonts w:ascii="Calibri" w:eastAsia="Calibri" w:hAnsi="Calibri" w:cs="Calibri"/>
                <w:kern w:val="0"/>
                <w:sz w:val="18"/>
                <w:szCs w:val="18"/>
                <w14:ligatures w14:val="none"/>
              </w:rPr>
            </w:pPr>
          </w:p>
        </w:tc>
      </w:tr>
      <w:tr w:rsidR="00116E00" w:rsidRPr="00A044E8" w14:paraId="5ECE0267" w14:textId="51ACB0E2" w:rsidTr="00116E00">
        <w:trPr>
          <w:trHeight w:val="231"/>
        </w:trPr>
        <w:tc>
          <w:tcPr>
            <w:tcW w:w="1246" w:type="dxa"/>
            <w:tcBorders>
              <w:top w:val="single" w:sz="4" w:space="0" w:color="auto"/>
              <w:left w:val="single" w:sz="4" w:space="0" w:color="auto"/>
              <w:bottom w:val="single" w:sz="4" w:space="0" w:color="auto"/>
              <w:right w:val="single" w:sz="4" w:space="0" w:color="auto"/>
            </w:tcBorders>
            <w:shd w:val="clear" w:color="auto" w:fill="A4E9F0"/>
            <w:tcMar>
              <w:top w:w="29" w:type="dxa"/>
              <w:left w:w="115" w:type="dxa"/>
              <w:bottom w:w="29" w:type="dxa"/>
              <w:right w:w="115" w:type="dxa"/>
            </w:tcMar>
          </w:tcPr>
          <w:p w14:paraId="26C6C519" w14:textId="37E90F5C" w:rsidR="00116E00" w:rsidRPr="00A044E8" w:rsidRDefault="00116E00" w:rsidP="00782682">
            <w:pPr>
              <w:rPr>
                <w:rFonts w:ascii="Calibri" w:eastAsia="Calibri" w:hAnsi="Calibri" w:cs="Calibri"/>
                <w:kern w:val="0"/>
                <w:sz w:val="18"/>
                <w:szCs w:val="18"/>
                <w14:ligatures w14:val="none"/>
              </w:rPr>
            </w:pPr>
            <w:r w:rsidRPr="00A044E8">
              <w:rPr>
                <w:rFonts w:ascii="Calibri" w:eastAsia="Calibri" w:hAnsi="Calibri" w:cs="Calibri"/>
                <w:kern w:val="0"/>
                <w:sz w:val="18"/>
                <w:szCs w:val="18"/>
                <w14:ligatures w14:val="none"/>
              </w:rPr>
              <w:t>Depression</w:t>
            </w:r>
          </w:p>
        </w:tc>
        <w:tc>
          <w:tcPr>
            <w:tcW w:w="3314" w:type="dxa"/>
            <w:tcBorders>
              <w:top w:val="single" w:sz="4" w:space="0" w:color="auto"/>
              <w:left w:val="single" w:sz="4" w:space="0" w:color="auto"/>
              <w:bottom w:val="single" w:sz="4" w:space="0" w:color="auto"/>
              <w:right w:val="single" w:sz="4" w:space="0" w:color="auto"/>
            </w:tcBorders>
            <w:shd w:val="clear" w:color="auto" w:fill="A4E9F0"/>
            <w:tcMar>
              <w:top w:w="29" w:type="dxa"/>
              <w:left w:w="115" w:type="dxa"/>
              <w:bottom w:w="29" w:type="dxa"/>
              <w:right w:w="115" w:type="dxa"/>
            </w:tcMar>
          </w:tcPr>
          <w:p w14:paraId="3284098E" w14:textId="3182F1B0" w:rsidR="00116E00" w:rsidRPr="00A044E8" w:rsidRDefault="00116E00" w:rsidP="00782682">
            <w:pPr>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BDI</w:t>
            </w:r>
          </w:p>
        </w:tc>
        <w:tc>
          <w:tcPr>
            <w:tcW w:w="4649" w:type="dxa"/>
            <w:tcBorders>
              <w:top w:val="single" w:sz="4" w:space="0" w:color="auto"/>
              <w:left w:val="single" w:sz="4" w:space="0" w:color="auto"/>
              <w:bottom w:val="single" w:sz="4" w:space="0" w:color="auto"/>
              <w:right w:val="single" w:sz="4" w:space="0" w:color="auto"/>
            </w:tcBorders>
            <w:shd w:val="clear" w:color="auto" w:fill="A4E9F0"/>
            <w:tcMar>
              <w:top w:w="29" w:type="dxa"/>
              <w:left w:w="115" w:type="dxa"/>
              <w:bottom w:w="29" w:type="dxa"/>
              <w:right w:w="115" w:type="dxa"/>
            </w:tcMar>
          </w:tcPr>
          <w:p w14:paraId="0DE8F7CC" w14:textId="77777777" w:rsidR="00116E00" w:rsidRPr="00A044E8" w:rsidRDefault="00116E00" w:rsidP="00017CB5">
            <w:pPr>
              <w:spacing w:after="0" w:line="240" w:lineRule="auto"/>
              <w:rPr>
                <w:rFonts w:ascii="Calibri" w:eastAsia="Calibri" w:hAnsi="Calibri" w:cs="Calibri"/>
                <w:color w:val="000000"/>
                <w:kern w:val="0"/>
                <w:sz w:val="18"/>
                <w:szCs w:val="18"/>
                <w14:ligatures w14:val="none"/>
              </w:rPr>
            </w:pPr>
            <w:r w:rsidRPr="00A044E8">
              <w:rPr>
                <w:rFonts w:ascii="Calibri" w:eastAsia="Calibri" w:hAnsi="Calibri" w:cs="Calibri"/>
                <w:kern w:val="0"/>
                <w:sz w:val="18"/>
                <w:szCs w:val="18"/>
                <w14:ligatures w14:val="none"/>
              </w:rPr>
              <w:t xml:space="preserve">3-7 points </w:t>
            </w:r>
            <w:r w:rsidRPr="00A044E8">
              <w:rPr>
                <w:rFonts w:ascii="Calibri" w:eastAsia="Calibri" w:hAnsi="Calibri" w:cs="Calibri"/>
                <w:color w:val="000000"/>
                <w:kern w:val="0"/>
                <w:sz w:val="18"/>
                <w:szCs w:val="18"/>
                <w14:ligatures w14:val="none"/>
              </w:rPr>
              <w:t>(</w:t>
            </w:r>
            <w:proofErr w:type="spellStart"/>
            <w:r w:rsidRPr="00A044E8">
              <w:fldChar w:fldCharType="begin"/>
            </w:r>
            <w:r w:rsidRPr="00A044E8">
              <w:instrText>HYPERLINK "https://pubmed.ncbi.nlm.nih.gov/33593736/"</w:instrText>
            </w:r>
            <w:r w:rsidRPr="00A044E8">
              <w:fldChar w:fldCharType="separate"/>
            </w:r>
            <w:r w:rsidRPr="00A044E8">
              <w:rPr>
                <w:rStyle w:val="Hyperlink"/>
                <w:rFonts w:ascii="Calibri" w:eastAsia="Calibri" w:hAnsi="Calibri" w:cs="Calibri"/>
                <w:kern w:val="0"/>
                <w:sz w:val="18"/>
                <w:szCs w:val="18"/>
                <w14:ligatures w14:val="none"/>
              </w:rPr>
              <w:t>Hengartner</w:t>
            </w:r>
            <w:proofErr w:type="spellEnd"/>
            <w:r w:rsidRPr="00A044E8">
              <w:rPr>
                <w:rStyle w:val="Hyperlink"/>
                <w:rFonts w:ascii="Calibri" w:eastAsia="Calibri" w:hAnsi="Calibri" w:cs="Calibri"/>
                <w:kern w:val="0"/>
                <w:sz w:val="18"/>
                <w:szCs w:val="18"/>
                <w14:ligatures w14:val="none"/>
              </w:rPr>
              <w:t xml:space="preserve"> &amp; </w:t>
            </w:r>
            <w:proofErr w:type="spellStart"/>
            <w:r w:rsidRPr="00A044E8">
              <w:rPr>
                <w:rStyle w:val="Hyperlink"/>
                <w:rFonts w:ascii="Calibri" w:eastAsia="Calibri" w:hAnsi="Calibri" w:cs="Calibri"/>
                <w:kern w:val="0"/>
                <w:sz w:val="18"/>
                <w:szCs w:val="18"/>
                <w14:ligatures w14:val="none"/>
              </w:rPr>
              <w:t>Plöderl</w:t>
            </w:r>
            <w:proofErr w:type="spellEnd"/>
            <w:r w:rsidRPr="00A044E8">
              <w:rPr>
                <w:rStyle w:val="Hyperlink"/>
                <w:rFonts w:ascii="Calibri" w:eastAsia="Calibri" w:hAnsi="Calibri" w:cs="Calibri"/>
                <w:kern w:val="0"/>
                <w:sz w:val="18"/>
                <w:szCs w:val="18"/>
                <w14:ligatures w14:val="none"/>
              </w:rPr>
              <w:t>, 2022</w:t>
            </w:r>
            <w:r w:rsidRPr="00A044E8">
              <w:fldChar w:fldCharType="end"/>
            </w:r>
            <w:r w:rsidRPr="00A044E8">
              <w:rPr>
                <w:rFonts w:ascii="Calibri" w:eastAsia="Calibri" w:hAnsi="Calibri" w:cs="Calibri"/>
                <w:color w:val="000000"/>
                <w:kern w:val="0"/>
                <w:sz w:val="18"/>
                <w:szCs w:val="18"/>
                <w14:ligatures w14:val="none"/>
              </w:rPr>
              <w:t>)</w:t>
            </w:r>
          </w:p>
          <w:p w14:paraId="517883B2" w14:textId="75DD035D" w:rsidR="00116E00" w:rsidRPr="00A044E8" w:rsidRDefault="00116E00" w:rsidP="00782682">
            <w:pPr>
              <w:spacing w:after="0"/>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These estimates are from 2 studies conducted in Japan. Estimates varied depending on the clinical scale used as an anchor and whether between- or within-patient differences were being considered.</w:t>
            </w:r>
          </w:p>
          <w:p w14:paraId="0E6F4C47" w14:textId="3626B269" w:rsidR="00116E00" w:rsidRPr="00A044E8" w:rsidRDefault="00116E00" w:rsidP="00782682">
            <w:pPr>
              <w:spacing w:after="0"/>
              <w:rPr>
                <w:rFonts w:ascii="Calibri" w:eastAsia="Calibri" w:hAnsi="Calibri" w:cs="Calibri"/>
                <w:kern w:val="0"/>
                <w:sz w:val="18"/>
                <w:szCs w:val="18"/>
                <w14:ligatures w14:val="none"/>
              </w:rPr>
            </w:pPr>
          </w:p>
        </w:tc>
        <w:tc>
          <w:tcPr>
            <w:tcW w:w="4463" w:type="dxa"/>
            <w:tcBorders>
              <w:top w:val="single" w:sz="4" w:space="0" w:color="auto"/>
              <w:left w:val="single" w:sz="4" w:space="0" w:color="auto"/>
              <w:bottom w:val="single" w:sz="4" w:space="0" w:color="auto"/>
              <w:right w:val="single" w:sz="4" w:space="0" w:color="auto"/>
            </w:tcBorders>
            <w:shd w:val="clear" w:color="auto" w:fill="A4E9F0"/>
          </w:tcPr>
          <w:p w14:paraId="690AB919" w14:textId="77777777" w:rsidR="00116E00" w:rsidRPr="00A044E8" w:rsidRDefault="00116E00" w:rsidP="00017CB5">
            <w:pPr>
              <w:spacing w:after="0" w:line="240" w:lineRule="auto"/>
              <w:rPr>
                <w:rFonts w:ascii="Calibri" w:eastAsia="Calibri" w:hAnsi="Calibri" w:cs="Calibri"/>
                <w:kern w:val="0"/>
                <w:sz w:val="18"/>
                <w:szCs w:val="18"/>
                <w14:ligatures w14:val="none"/>
              </w:rPr>
            </w:pPr>
          </w:p>
        </w:tc>
      </w:tr>
      <w:tr w:rsidR="00116E00" w:rsidRPr="00A044E8" w14:paraId="5B8E2884" w14:textId="5B6BDC9B" w:rsidTr="00116E00">
        <w:trPr>
          <w:trHeight w:val="195"/>
        </w:trPr>
        <w:tc>
          <w:tcPr>
            <w:tcW w:w="9209" w:type="dxa"/>
            <w:gridSpan w:val="3"/>
            <w:tcBorders>
              <w:top w:val="single" w:sz="4" w:space="0" w:color="auto"/>
              <w:left w:val="single" w:sz="4" w:space="0" w:color="auto"/>
              <w:bottom w:val="single" w:sz="4" w:space="0" w:color="auto"/>
              <w:right w:val="single" w:sz="4" w:space="0" w:color="auto"/>
            </w:tcBorders>
            <w:shd w:val="clear" w:color="auto" w:fill="9CC2E5" w:themeFill="accent5" w:themeFillTint="99"/>
            <w:tcMar>
              <w:top w:w="29" w:type="dxa"/>
              <w:left w:w="115" w:type="dxa"/>
              <w:bottom w:w="29" w:type="dxa"/>
              <w:right w:w="115" w:type="dxa"/>
            </w:tcMar>
          </w:tcPr>
          <w:p w14:paraId="17D182A8" w14:textId="6739CC90" w:rsidR="00116E00" w:rsidRPr="00A044E8" w:rsidRDefault="00116E00" w:rsidP="00782682">
            <w:pPr>
              <w:rPr>
                <w:rFonts w:ascii="Calibri" w:eastAsia="Calibri" w:hAnsi="Calibri" w:cs="Calibri"/>
                <w:b/>
                <w:bCs/>
                <w:color w:val="000000"/>
                <w:kern w:val="0"/>
                <w:sz w:val="18"/>
                <w:szCs w:val="18"/>
                <w14:ligatures w14:val="none"/>
              </w:rPr>
            </w:pPr>
            <w:r w:rsidRPr="00A044E8">
              <w:rPr>
                <w:rFonts w:ascii="Calibri" w:eastAsia="Calibri" w:hAnsi="Calibri" w:cs="Calibri"/>
                <w:b/>
                <w:bCs/>
                <w:color w:val="000000"/>
                <w:kern w:val="0"/>
                <w:sz w:val="18"/>
                <w:szCs w:val="18"/>
                <w14:ligatures w14:val="none"/>
              </w:rPr>
              <w:t>ESSENTIAL TREMOR: No MCIDs were identified for frequently used or expert-recommended MCIDs.</w:t>
            </w:r>
          </w:p>
        </w:tc>
        <w:tc>
          <w:tcPr>
            <w:tcW w:w="4463" w:type="dxa"/>
            <w:tcBorders>
              <w:top w:val="single" w:sz="4" w:space="0" w:color="auto"/>
              <w:left w:val="single" w:sz="4" w:space="0" w:color="auto"/>
              <w:bottom w:val="single" w:sz="4" w:space="0" w:color="auto"/>
              <w:right w:val="single" w:sz="4" w:space="0" w:color="auto"/>
            </w:tcBorders>
            <w:shd w:val="clear" w:color="auto" w:fill="9CC2E5" w:themeFill="accent5" w:themeFillTint="99"/>
          </w:tcPr>
          <w:p w14:paraId="53FB0F0F" w14:textId="77777777" w:rsidR="00116E00" w:rsidRPr="00A044E8" w:rsidRDefault="00116E00" w:rsidP="00782682">
            <w:pPr>
              <w:rPr>
                <w:rFonts w:ascii="Calibri" w:eastAsia="Calibri" w:hAnsi="Calibri" w:cs="Calibri"/>
                <w:b/>
                <w:bCs/>
                <w:color w:val="000000"/>
                <w:kern w:val="0"/>
                <w:sz w:val="18"/>
                <w:szCs w:val="18"/>
                <w14:ligatures w14:val="none"/>
              </w:rPr>
            </w:pPr>
          </w:p>
        </w:tc>
      </w:tr>
      <w:tr w:rsidR="00116E00" w:rsidRPr="00A044E8" w14:paraId="3F7C3890" w14:textId="617D89BD" w:rsidTr="005334C4">
        <w:trPr>
          <w:trHeight w:val="222"/>
        </w:trPr>
        <w:tc>
          <w:tcPr>
            <w:tcW w:w="13672" w:type="dxa"/>
            <w:gridSpan w:val="4"/>
            <w:tcBorders>
              <w:top w:val="single" w:sz="4" w:space="0" w:color="000000"/>
              <w:left w:val="single" w:sz="4" w:space="0" w:color="auto"/>
              <w:bottom w:val="single" w:sz="4" w:space="0" w:color="auto"/>
              <w:right w:val="single" w:sz="4" w:space="0" w:color="auto"/>
            </w:tcBorders>
            <w:shd w:val="clear" w:color="auto" w:fill="auto"/>
            <w:tcMar>
              <w:top w:w="29" w:type="dxa"/>
              <w:left w:w="115" w:type="dxa"/>
              <w:bottom w:w="29" w:type="dxa"/>
              <w:right w:w="115" w:type="dxa"/>
            </w:tcMar>
          </w:tcPr>
          <w:p w14:paraId="5321C437" w14:textId="1114AB2E" w:rsidR="00116E00" w:rsidRPr="00A044E8" w:rsidRDefault="00116E00" w:rsidP="00782682">
            <w:pPr>
              <w:spacing w:after="0" w:line="240" w:lineRule="auto"/>
              <w:rPr>
                <w:rFonts w:ascii="Calibri" w:eastAsia="Calibri" w:hAnsi="Calibri" w:cs="Calibri"/>
                <w:color w:val="000000"/>
                <w:kern w:val="0"/>
                <w:sz w:val="16"/>
                <w:szCs w:val="16"/>
                <w14:ligatures w14:val="none"/>
              </w:rPr>
            </w:pPr>
            <w:r w:rsidRPr="00A044E8">
              <w:rPr>
                <w:rFonts w:ascii="Calibri" w:eastAsia="Calibri" w:hAnsi="Calibri" w:cs="Calibri"/>
                <w:b/>
                <w:bCs/>
                <w:color w:val="000000"/>
                <w:kern w:val="0"/>
                <w:sz w:val="16"/>
                <w:szCs w:val="16"/>
                <w14:ligatures w14:val="none"/>
              </w:rPr>
              <w:t xml:space="preserve">Abbreviations: </w:t>
            </w:r>
            <w:r w:rsidRPr="00A044E8">
              <w:rPr>
                <w:rFonts w:ascii="Calibri" w:eastAsia="Calibri" w:hAnsi="Calibri" w:cs="Calibri"/>
                <w:color w:val="000000"/>
                <w:kern w:val="0"/>
                <w:sz w:val="16"/>
                <w:szCs w:val="16"/>
                <w14:ligatures w14:val="none"/>
              </w:rPr>
              <w:t>ADL: Activities of daily living;</w:t>
            </w:r>
            <w:r w:rsidRPr="00A044E8">
              <w:rPr>
                <w:rFonts w:ascii="Calibri" w:eastAsia="Calibri" w:hAnsi="Calibri" w:cs="Calibri"/>
                <w:b/>
                <w:bCs/>
                <w:color w:val="000000"/>
                <w:kern w:val="0"/>
                <w:sz w:val="16"/>
                <w:szCs w:val="16"/>
                <w14:ligatures w14:val="none"/>
              </w:rPr>
              <w:t xml:space="preserve"> </w:t>
            </w:r>
            <w:r w:rsidRPr="00A044E8">
              <w:rPr>
                <w:rFonts w:ascii="Calibri" w:eastAsia="Calibri" w:hAnsi="Calibri" w:cs="Calibri"/>
                <w:color w:val="000000"/>
                <w:kern w:val="0"/>
                <w:sz w:val="16"/>
                <w:szCs w:val="16"/>
                <w14:ligatures w14:val="none"/>
              </w:rPr>
              <w:t>FOG-Q: Freezing of Gait Questionnaire; MCID, minimal clinically important difference; HDRS, Hamilton Depression Rating Scale; MDC: minimum detectable change; MDS-NMS: Movement Disorders Society Nonmotor Symptoms; MDS-UPDRS: Movement Disorder</w:t>
            </w:r>
            <w:r w:rsidR="00A12B45" w:rsidRPr="00A044E8">
              <w:rPr>
                <w:rFonts w:ascii="Calibri" w:eastAsia="Calibri" w:hAnsi="Calibri" w:cs="Calibri"/>
                <w:color w:val="000000"/>
                <w:kern w:val="0"/>
                <w:sz w:val="16"/>
                <w:szCs w:val="16"/>
                <w14:ligatures w14:val="none"/>
              </w:rPr>
              <w:t>s</w:t>
            </w:r>
            <w:r w:rsidRPr="00A044E8">
              <w:rPr>
                <w:rFonts w:ascii="Calibri" w:eastAsia="Calibri" w:hAnsi="Calibri" w:cs="Calibri"/>
                <w:color w:val="000000"/>
                <w:kern w:val="0"/>
                <w:sz w:val="16"/>
                <w:szCs w:val="16"/>
                <w14:ligatures w14:val="none"/>
              </w:rPr>
              <w:t xml:space="preserve"> Society-sponsored revision of UPDRS; MoCA, Montreal Cognitive Assessment; NA:  Not applicable;</w:t>
            </w:r>
            <w:r w:rsidRPr="00A044E8">
              <w:rPr>
                <w:rFonts w:ascii="Calibri" w:eastAsia="Calibri" w:hAnsi="Calibri" w:cs="Calibri"/>
                <w:b/>
                <w:bCs/>
                <w:color w:val="000000"/>
                <w:kern w:val="0"/>
                <w:sz w:val="16"/>
                <w:szCs w:val="16"/>
                <w14:ligatures w14:val="none"/>
              </w:rPr>
              <w:t xml:space="preserve"> </w:t>
            </w:r>
            <w:r w:rsidRPr="00A044E8">
              <w:rPr>
                <w:rFonts w:ascii="Calibri" w:eastAsia="Calibri" w:hAnsi="Calibri" w:cs="Calibri"/>
                <w:color w:val="000000"/>
                <w:kern w:val="0"/>
                <w:sz w:val="16"/>
                <w:szCs w:val="16"/>
                <w14:ligatures w14:val="none"/>
              </w:rPr>
              <w:t>PD: Parkinson’s disease;</w:t>
            </w:r>
            <w:r w:rsidRPr="00A044E8">
              <w:rPr>
                <w:rFonts w:ascii="Calibri" w:eastAsia="Calibri" w:hAnsi="Calibri" w:cs="Calibri"/>
                <w:b/>
                <w:bCs/>
                <w:color w:val="000000"/>
                <w:kern w:val="0"/>
                <w:sz w:val="16"/>
                <w:szCs w:val="16"/>
                <w14:ligatures w14:val="none"/>
              </w:rPr>
              <w:t xml:space="preserve"> </w:t>
            </w:r>
            <w:r w:rsidRPr="00A044E8">
              <w:rPr>
                <w:rFonts w:ascii="Calibri" w:eastAsia="Calibri" w:hAnsi="Calibri" w:cs="Calibri"/>
                <w:color w:val="000000"/>
                <w:kern w:val="0"/>
                <w:sz w:val="16"/>
                <w:szCs w:val="16"/>
                <w14:ligatures w14:val="none"/>
              </w:rPr>
              <w:t>PDQ: Parkinson Disease’s Questionnaire; PDSS-2: Parkinson's Disease Sleep Scale 2nd version; QoL: Quality of life;</w:t>
            </w:r>
            <w:r w:rsidRPr="00A044E8">
              <w:rPr>
                <w:rFonts w:ascii="Calibri" w:eastAsia="Calibri" w:hAnsi="Calibri" w:cs="Calibri"/>
                <w:b/>
                <w:bCs/>
                <w:color w:val="000000"/>
                <w:kern w:val="0"/>
                <w:sz w:val="16"/>
                <w:szCs w:val="16"/>
                <w14:ligatures w14:val="none"/>
              </w:rPr>
              <w:t xml:space="preserve"> </w:t>
            </w:r>
            <w:r w:rsidRPr="00A044E8">
              <w:rPr>
                <w:rFonts w:ascii="Calibri" w:eastAsia="Calibri" w:hAnsi="Calibri" w:cs="Calibri"/>
                <w:color w:val="000000"/>
                <w:kern w:val="0"/>
                <w:sz w:val="16"/>
                <w:szCs w:val="16"/>
                <w14:ligatures w14:val="none"/>
              </w:rPr>
              <w:t>TUG: Timed Up and Go Test;</w:t>
            </w:r>
            <w:r w:rsidRPr="00A044E8">
              <w:rPr>
                <w:rFonts w:ascii="Calibri" w:eastAsia="Calibri" w:hAnsi="Calibri" w:cs="Calibri"/>
                <w:b/>
                <w:bCs/>
                <w:color w:val="000000"/>
                <w:kern w:val="0"/>
                <w:sz w:val="16"/>
                <w:szCs w:val="16"/>
                <w14:ligatures w14:val="none"/>
              </w:rPr>
              <w:t xml:space="preserve"> </w:t>
            </w:r>
            <w:r w:rsidRPr="00A044E8">
              <w:rPr>
                <w:rFonts w:ascii="Calibri" w:eastAsia="Calibri" w:hAnsi="Calibri" w:cs="Calibri"/>
                <w:color w:val="000000"/>
                <w:kern w:val="0"/>
                <w:sz w:val="16"/>
                <w:szCs w:val="16"/>
                <w14:ligatures w14:val="none"/>
              </w:rPr>
              <w:t>UPDRS: Unified Parkinson’s Disease Rating Scale</w:t>
            </w:r>
          </w:p>
          <w:p w14:paraId="281A08F4" w14:textId="51715B41" w:rsidR="00116E00" w:rsidRPr="00A044E8" w:rsidRDefault="00116E00" w:rsidP="00782682">
            <w:pPr>
              <w:spacing w:after="0" w:line="240" w:lineRule="auto"/>
              <w:rPr>
                <w:rFonts w:ascii="Calibri" w:eastAsia="Calibri" w:hAnsi="Calibri" w:cs="Calibri"/>
                <w:b/>
                <w:bCs/>
                <w:color w:val="000000"/>
                <w:kern w:val="0"/>
                <w:sz w:val="16"/>
                <w:szCs w:val="16"/>
                <w14:ligatures w14:val="none"/>
              </w:rPr>
            </w:pPr>
            <w:r w:rsidRPr="00A044E8">
              <w:rPr>
                <w:rFonts w:ascii="Calibri" w:eastAsia="Calibri" w:hAnsi="Calibri" w:cs="Calibri"/>
                <w:color w:val="000000"/>
                <w:kern w:val="0"/>
                <w:sz w:val="16"/>
                <w:szCs w:val="16"/>
                <w14:ligatures w14:val="none"/>
              </w:rPr>
              <w:t xml:space="preserve">*MCID definitions associated with formal instruments were sought only for the prioritized endpoints derived from the published systematic reviews and for endpoints emphasized by at least two of the professional guidance documents but not belonging to the prioritized list. </w:t>
            </w:r>
            <w:r w:rsidRPr="00A044E8">
              <w:rPr>
                <w:rFonts w:ascii="Calibri" w:eastAsia="Calibri" w:hAnsi="Calibri" w:cs="Calibri"/>
                <w:b/>
                <w:bCs/>
                <w:color w:val="000000"/>
                <w:kern w:val="0"/>
                <w:sz w:val="16"/>
                <w:szCs w:val="16"/>
                <w14:ligatures w14:val="none"/>
              </w:rPr>
              <w:t xml:space="preserve">NOTE: </w:t>
            </w:r>
            <w:r w:rsidRPr="00A044E8">
              <w:rPr>
                <w:rFonts w:ascii="Calibri" w:eastAsia="Calibri" w:hAnsi="Calibri" w:cs="Calibri"/>
                <w:color w:val="000000"/>
                <w:kern w:val="0"/>
                <w:sz w:val="16"/>
                <w:szCs w:val="16"/>
                <w14:ligatures w14:val="none"/>
              </w:rPr>
              <w:t>Appendix Table C1 in the full CER provides definitions of minimal detectable change (MDC) where MCIDs could not be identified. MDCs are based on statistical considerations, i.e., variability in treatment response, rather than clinical relevance. MCDs have to do with true effect versus random result.</w:t>
            </w:r>
          </w:p>
        </w:tc>
      </w:tr>
    </w:tbl>
    <w:p w14:paraId="1B92B286" w14:textId="77777777" w:rsidR="00896B85" w:rsidRPr="00A044E8" w:rsidRDefault="00896B85" w:rsidP="00896B85">
      <w:pPr>
        <w:pStyle w:val="ListParagraph"/>
        <w:ind w:left="0"/>
        <w:rPr>
          <w:b/>
          <w:bCs/>
        </w:rPr>
      </w:pPr>
    </w:p>
    <w:p w14:paraId="65D779B9" w14:textId="77777777" w:rsidR="00896B85" w:rsidRPr="00A044E8" w:rsidRDefault="00896B85" w:rsidP="00896B85">
      <w:pPr>
        <w:pStyle w:val="ListParagraph"/>
        <w:ind w:left="0"/>
        <w:rPr>
          <w:b/>
          <w:bCs/>
        </w:rPr>
        <w:sectPr w:rsidR="00896B85" w:rsidRPr="00A044E8" w:rsidSect="006953EA">
          <w:pgSz w:w="15840" w:h="12240" w:orient="landscape"/>
          <w:pgMar w:top="1080" w:right="1080" w:bottom="1080" w:left="1080" w:header="720" w:footer="720" w:gutter="0"/>
          <w:cols w:space="720"/>
          <w:docGrid w:linePitch="360"/>
        </w:sectPr>
      </w:pPr>
    </w:p>
    <w:p w14:paraId="6EB18982" w14:textId="5F90D210" w:rsidR="005362D0" w:rsidRPr="00A044E8" w:rsidRDefault="005362D0" w:rsidP="00896B85">
      <w:pPr>
        <w:pStyle w:val="ListParagraph"/>
        <w:ind w:left="0"/>
        <w:rPr>
          <w:b/>
          <w:bCs/>
        </w:rPr>
      </w:pPr>
      <w:bookmarkStart w:id="9" w:name="Table_D"/>
      <w:r w:rsidRPr="00A044E8">
        <w:rPr>
          <w:b/>
          <w:bCs/>
        </w:rPr>
        <w:lastRenderedPageBreak/>
        <w:t>Table D. Follow-up Duration Recommended by 3 External Expert Reviewers</w:t>
      </w:r>
    </w:p>
    <w:bookmarkEnd w:id="9"/>
    <w:p w14:paraId="2FD00C98" w14:textId="25265C9B" w:rsidR="00DF708F" w:rsidRPr="00A044E8" w:rsidRDefault="00DF708F" w:rsidP="00896B85">
      <w:pPr>
        <w:pStyle w:val="ListParagraph"/>
        <w:ind w:left="0"/>
      </w:pPr>
      <w:r w:rsidRPr="00A044E8">
        <w:t>Follow-up information was not captured in the CER. The following recommendations are entirely from the 3 external expert reviewers.</w:t>
      </w:r>
    </w:p>
    <w:tbl>
      <w:tblPr>
        <w:tblStyle w:val="TableGrid"/>
        <w:tblW w:w="0" w:type="auto"/>
        <w:tblLook w:val="04A0" w:firstRow="1" w:lastRow="0" w:firstColumn="1" w:lastColumn="0" w:noHBand="0" w:noVBand="1"/>
      </w:tblPr>
      <w:tblGrid>
        <w:gridCol w:w="2294"/>
        <w:gridCol w:w="5621"/>
      </w:tblGrid>
      <w:tr w:rsidR="00791CA4" w:rsidRPr="00A044E8" w14:paraId="7F91F6DD" w14:textId="77777777" w:rsidTr="00363385">
        <w:tc>
          <w:tcPr>
            <w:tcW w:w="2294" w:type="dxa"/>
            <w:shd w:val="clear" w:color="auto" w:fill="2E74B5" w:themeFill="accent5" w:themeFillShade="BF"/>
            <w:vAlign w:val="center"/>
          </w:tcPr>
          <w:p w14:paraId="3F502C13" w14:textId="69F74A84" w:rsidR="005362D0" w:rsidRPr="00A044E8" w:rsidRDefault="005362D0" w:rsidP="00791CA4">
            <w:pPr>
              <w:pStyle w:val="ListParagraph"/>
              <w:ind w:left="0"/>
              <w:jc w:val="center"/>
              <w:rPr>
                <w:b/>
                <w:bCs/>
                <w:color w:val="FFFFFF" w:themeColor="background1"/>
                <w:sz w:val="18"/>
                <w:szCs w:val="18"/>
              </w:rPr>
            </w:pPr>
            <w:r w:rsidRPr="00A044E8">
              <w:rPr>
                <w:b/>
                <w:bCs/>
                <w:color w:val="FFFFFF" w:themeColor="background1"/>
                <w:sz w:val="18"/>
                <w:szCs w:val="18"/>
              </w:rPr>
              <w:t>Domain</w:t>
            </w:r>
          </w:p>
        </w:tc>
        <w:tc>
          <w:tcPr>
            <w:tcW w:w="5621" w:type="dxa"/>
            <w:shd w:val="clear" w:color="auto" w:fill="2E74B5" w:themeFill="accent5" w:themeFillShade="BF"/>
            <w:vAlign w:val="center"/>
          </w:tcPr>
          <w:p w14:paraId="01B7B471" w14:textId="463A6A42" w:rsidR="005362D0" w:rsidRPr="00A044E8" w:rsidRDefault="00C27374" w:rsidP="00791CA4">
            <w:pPr>
              <w:pStyle w:val="ListParagraph"/>
              <w:ind w:left="0"/>
              <w:jc w:val="center"/>
              <w:rPr>
                <w:b/>
                <w:bCs/>
                <w:color w:val="FFFFFF" w:themeColor="background1"/>
                <w:sz w:val="18"/>
                <w:szCs w:val="18"/>
              </w:rPr>
            </w:pPr>
            <w:r w:rsidRPr="00A044E8">
              <w:rPr>
                <w:b/>
                <w:bCs/>
                <w:color w:val="FFFFFF" w:themeColor="background1"/>
                <w:sz w:val="18"/>
                <w:szCs w:val="18"/>
              </w:rPr>
              <w:t xml:space="preserve">Reviewer </w:t>
            </w:r>
            <w:r w:rsidR="005362D0" w:rsidRPr="00A044E8">
              <w:rPr>
                <w:b/>
                <w:bCs/>
                <w:color w:val="FFFFFF" w:themeColor="background1"/>
                <w:sz w:val="18"/>
                <w:szCs w:val="18"/>
              </w:rPr>
              <w:t>Recommend</w:t>
            </w:r>
            <w:r w:rsidR="00DF708F" w:rsidRPr="00A044E8">
              <w:rPr>
                <w:b/>
                <w:bCs/>
                <w:color w:val="FFFFFF" w:themeColor="background1"/>
                <w:sz w:val="18"/>
                <w:szCs w:val="18"/>
              </w:rPr>
              <w:t>ations</w:t>
            </w:r>
          </w:p>
        </w:tc>
      </w:tr>
      <w:tr w:rsidR="00791CA4" w:rsidRPr="00A044E8" w14:paraId="708AD227" w14:textId="77777777" w:rsidTr="00363385">
        <w:tc>
          <w:tcPr>
            <w:tcW w:w="2294" w:type="dxa"/>
          </w:tcPr>
          <w:p w14:paraId="1DB875C0" w14:textId="543648AD" w:rsidR="005362D0" w:rsidRPr="00A044E8" w:rsidRDefault="005362D0" w:rsidP="00896B85">
            <w:pPr>
              <w:pStyle w:val="ListParagraph"/>
              <w:ind w:left="0"/>
              <w:rPr>
                <w:b/>
                <w:bCs/>
                <w:sz w:val="18"/>
                <w:szCs w:val="18"/>
              </w:rPr>
            </w:pPr>
            <w:r w:rsidRPr="00A044E8">
              <w:rPr>
                <w:b/>
                <w:bCs/>
                <w:sz w:val="18"/>
                <w:szCs w:val="18"/>
              </w:rPr>
              <w:t>Clinician-assessed health outcomes</w:t>
            </w:r>
          </w:p>
        </w:tc>
        <w:tc>
          <w:tcPr>
            <w:tcW w:w="5621" w:type="dxa"/>
          </w:tcPr>
          <w:p w14:paraId="5C7E03C5" w14:textId="3DB351C1" w:rsidR="005362D0" w:rsidRPr="00A044E8" w:rsidRDefault="000C1C3B" w:rsidP="000C1C3B">
            <w:pPr>
              <w:rPr>
                <w:sz w:val="18"/>
                <w:szCs w:val="18"/>
              </w:rPr>
            </w:pPr>
            <w:r w:rsidRPr="00A044E8">
              <w:rPr>
                <w:sz w:val="18"/>
                <w:szCs w:val="18"/>
                <w:u w:val="single"/>
              </w:rPr>
              <w:t>Reviewer 1</w:t>
            </w:r>
            <w:r w:rsidRPr="00A044E8">
              <w:rPr>
                <w:sz w:val="18"/>
                <w:szCs w:val="18"/>
              </w:rPr>
              <w:t xml:space="preserve">: </w:t>
            </w:r>
            <w:r w:rsidR="005362D0" w:rsidRPr="00A044E8">
              <w:rPr>
                <w:sz w:val="18"/>
                <w:szCs w:val="18"/>
              </w:rPr>
              <w:t xml:space="preserve">3 </w:t>
            </w:r>
            <w:proofErr w:type="spellStart"/>
            <w:r w:rsidR="005362D0" w:rsidRPr="00A044E8">
              <w:rPr>
                <w:sz w:val="18"/>
                <w:szCs w:val="18"/>
              </w:rPr>
              <w:t>mos</w:t>
            </w:r>
            <w:proofErr w:type="spellEnd"/>
          </w:p>
          <w:p w14:paraId="75AF81EF" w14:textId="77777777" w:rsidR="000C1C3B" w:rsidRPr="00A044E8" w:rsidRDefault="000C1C3B" w:rsidP="000C1C3B">
            <w:pPr>
              <w:rPr>
                <w:sz w:val="18"/>
                <w:szCs w:val="18"/>
              </w:rPr>
            </w:pPr>
            <w:r w:rsidRPr="00A044E8">
              <w:rPr>
                <w:sz w:val="18"/>
                <w:szCs w:val="18"/>
                <w:u w:val="single"/>
              </w:rPr>
              <w:t>Reviewer 2</w:t>
            </w:r>
            <w:r w:rsidRPr="00A044E8">
              <w:rPr>
                <w:sz w:val="18"/>
                <w:szCs w:val="18"/>
              </w:rPr>
              <w:t xml:space="preserve">: </w:t>
            </w:r>
          </w:p>
          <w:p w14:paraId="70CB0BE1" w14:textId="77777777" w:rsidR="000C1C3B" w:rsidRPr="00A044E8" w:rsidRDefault="000C1C3B" w:rsidP="003371BF">
            <w:pPr>
              <w:pStyle w:val="ListParagraph"/>
              <w:numPr>
                <w:ilvl w:val="0"/>
                <w:numId w:val="14"/>
              </w:numPr>
              <w:rPr>
                <w:sz w:val="18"/>
                <w:szCs w:val="18"/>
              </w:rPr>
            </w:pPr>
            <w:r w:rsidRPr="00A044E8">
              <w:rPr>
                <w:sz w:val="18"/>
                <w:szCs w:val="18"/>
              </w:rPr>
              <w:t xml:space="preserve">Wearables/sensors and robot-assisted gait trainers, 3 </w:t>
            </w:r>
            <w:proofErr w:type="spellStart"/>
            <w:r w:rsidRPr="00A044E8">
              <w:rPr>
                <w:sz w:val="18"/>
                <w:szCs w:val="18"/>
              </w:rPr>
              <w:t>mos</w:t>
            </w:r>
            <w:proofErr w:type="spellEnd"/>
          </w:p>
          <w:p w14:paraId="74373563" w14:textId="77777777" w:rsidR="000C1C3B" w:rsidRPr="00A044E8" w:rsidRDefault="000C1C3B" w:rsidP="003371BF">
            <w:pPr>
              <w:pStyle w:val="ListParagraph"/>
              <w:numPr>
                <w:ilvl w:val="0"/>
                <w:numId w:val="14"/>
              </w:numPr>
              <w:rPr>
                <w:sz w:val="18"/>
                <w:szCs w:val="18"/>
              </w:rPr>
            </w:pPr>
            <w:proofErr w:type="spellStart"/>
            <w:r w:rsidRPr="00A044E8">
              <w:rPr>
                <w:sz w:val="18"/>
                <w:szCs w:val="18"/>
              </w:rPr>
              <w:t>rTMS</w:t>
            </w:r>
            <w:proofErr w:type="spellEnd"/>
            <w:r w:rsidRPr="00A044E8">
              <w:rPr>
                <w:sz w:val="18"/>
                <w:szCs w:val="18"/>
              </w:rPr>
              <w:t xml:space="preserve">, 6 </w:t>
            </w:r>
            <w:proofErr w:type="spellStart"/>
            <w:r w:rsidRPr="00A044E8">
              <w:rPr>
                <w:sz w:val="18"/>
                <w:szCs w:val="18"/>
              </w:rPr>
              <w:t>mos</w:t>
            </w:r>
            <w:proofErr w:type="spellEnd"/>
          </w:p>
          <w:p w14:paraId="04B56A05" w14:textId="1E37AECB" w:rsidR="005362D0" w:rsidRPr="00A044E8" w:rsidRDefault="000C1C3B" w:rsidP="003371BF">
            <w:pPr>
              <w:pStyle w:val="ListParagraph"/>
              <w:numPr>
                <w:ilvl w:val="0"/>
                <w:numId w:val="14"/>
              </w:numPr>
              <w:rPr>
                <w:sz w:val="18"/>
                <w:szCs w:val="18"/>
              </w:rPr>
            </w:pPr>
            <w:r w:rsidRPr="00A044E8">
              <w:rPr>
                <w:sz w:val="18"/>
                <w:szCs w:val="18"/>
              </w:rPr>
              <w:t>DBS and ablations (</w:t>
            </w:r>
            <w:proofErr w:type="spellStart"/>
            <w:r w:rsidRPr="00A044E8">
              <w:rPr>
                <w:sz w:val="18"/>
                <w:szCs w:val="18"/>
              </w:rPr>
              <w:t>subthalamotomies</w:t>
            </w:r>
            <w:proofErr w:type="spellEnd"/>
            <w:r w:rsidRPr="00A044E8">
              <w:rPr>
                <w:sz w:val="18"/>
                <w:szCs w:val="18"/>
              </w:rPr>
              <w:t xml:space="preserve"> and </w:t>
            </w:r>
            <w:proofErr w:type="spellStart"/>
            <w:r w:rsidRPr="00A044E8">
              <w:rPr>
                <w:sz w:val="18"/>
                <w:szCs w:val="18"/>
              </w:rPr>
              <w:t>MRg</w:t>
            </w:r>
            <w:proofErr w:type="spellEnd"/>
            <w:r w:rsidRPr="00A044E8">
              <w:rPr>
                <w:sz w:val="18"/>
                <w:szCs w:val="18"/>
              </w:rPr>
              <w:t>-FUS), 1 yr</w:t>
            </w:r>
          </w:p>
          <w:p w14:paraId="4889FBB9" w14:textId="6CBBAD25" w:rsidR="000C1C3B" w:rsidRPr="00A044E8" w:rsidRDefault="000C1C3B" w:rsidP="000C1C3B">
            <w:pPr>
              <w:rPr>
                <w:sz w:val="18"/>
                <w:szCs w:val="18"/>
              </w:rPr>
            </w:pPr>
            <w:r w:rsidRPr="00A044E8">
              <w:rPr>
                <w:sz w:val="18"/>
                <w:szCs w:val="18"/>
                <w:u w:val="single"/>
              </w:rPr>
              <w:t>Reviewer 3</w:t>
            </w:r>
            <w:r w:rsidRPr="00A044E8">
              <w:rPr>
                <w:sz w:val="18"/>
                <w:szCs w:val="18"/>
              </w:rPr>
              <w:t xml:space="preserve">: 6 </w:t>
            </w:r>
            <w:proofErr w:type="spellStart"/>
            <w:r w:rsidRPr="00A044E8">
              <w:rPr>
                <w:sz w:val="18"/>
                <w:szCs w:val="18"/>
              </w:rPr>
              <w:t>mos</w:t>
            </w:r>
            <w:proofErr w:type="spellEnd"/>
            <w:r w:rsidRPr="00A044E8">
              <w:rPr>
                <w:sz w:val="18"/>
                <w:szCs w:val="18"/>
              </w:rPr>
              <w:t xml:space="preserve"> and 1 yr</w:t>
            </w:r>
          </w:p>
        </w:tc>
      </w:tr>
      <w:tr w:rsidR="00791CA4" w:rsidRPr="00A044E8" w14:paraId="357AA14D" w14:textId="77777777" w:rsidTr="00363385">
        <w:tc>
          <w:tcPr>
            <w:tcW w:w="2294" w:type="dxa"/>
          </w:tcPr>
          <w:p w14:paraId="18AD1C3B" w14:textId="4C31ACDE" w:rsidR="005362D0" w:rsidRPr="00A044E8" w:rsidRDefault="000C1C3B" w:rsidP="00896B85">
            <w:pPr>
              <w:pStyle w:val="ListParagraph"/>
              <w:ind w:left="0"/>
              <w:rPr>
                <w:b/>
                <w:bCs/>
                <w:sz w:val="18"/>
                <w:szCs w:val="18"/>
              </w:rPr>
            </w:pPr>
            <w:r w:rsidRPr="00A044E8">
              <w:rPr>
                <w:b/>
                <w:bCs/>
                <w:sz w:val="18"/>
                <w:szCs w:val="18"/>
              </w:rPr>
              <w:t>Patient-reported outcomes</w:t>
            </w:r>
          </w:p>
        </w:tc>
        <w:tc>
          <w:tcPr>
            <w:tcW w:w="5621" w:type="dxa"/>
          </w:tcPr>
          <w:p w14:paraId="4420B2DD" w14:textId="21DF5E13" w:rsidR="005362D0" w:rsidRPr="00A044E8" w:rsidRDefault="000C1C3B" w:rsidP="00896B85">
            <w:pPr>
              <w:pStyle w:val="ListParagraph"/>
              <w:ind w:left="0"/>
              <w:rPr>
                <w:sz w:val="18"/>
                <w:szCs w:val="18"/>
              </w:rPr>
            </w:pPr>
            <w:r w:rsidRPr="00A044E8">
              <w:rPr>
                <w:sz w:val="18"/>
                <w:szCs w:val="18"/>
              </w:rPr>
              <w:t>The same as for clinician-assessed health outcomes</w:t>
            </w:r>
          </w:p>
        </w:tc>
      </w:tr>
      <w:tr w:rsidR="00791CA4" w:rsidRPr="00A044E8" w14:paraId="2C53F3FF" w14:textId="77777777" w:rsidTr="00363385">
        <w:tc>
          <w:tcPr>
            <w:tcW w:w="2294" w:type="dxa"/>
          </w:tcPr>
          <w:p w14:paraId="3C8AD8B8" w14:textId="2A135B90" w:rsidR="005362D0" w:rsidRPr="00A044E8" w:rsidRDefault="000C1C3B" w:rsidP="00896B85">
            <w:pPr>
              <w:pStyle w:val="ListParagraph"/>
              <w:ind w:left="0"/>
              <w:rPr>
                <w:b/>
                <w:bCs/>
                <w:sz w:val="18"/>
                <w:szCs w:val="18"/>
              </w:rPr>
            </w:pPr>
            <w:r w:rsidRPr="00A044E8">
              <w:rPr>
                <w:b/>
                <w:bCs/>
                <w:sz w:val="18"/>
                <w:szCs w:val="18"/>
              </w:rPr>
              <w:t>Safety (clinician-assessed or patient-reported)</w:t>
            </w:r>
          </w:p>
        </w:tc>
        <w:tc>
          <w:tcPr>
            <w:tcW w:w="5621" w:type="dxa"/>
          </w:tcPr>
          <w:p w14:paraId="5F0CAD9C" w14:textId="6015E9CB" w:rsidR="005362D0" w:rsidRPr="00A044E8" w:rsidRDefault="000C1C3B" w:rsidP="00896B85">
            <w:pPr>
              <w:pStyle w:val="ListParagraph"/>
              <w:ind w:left="0"/>
              <w:rPr>
                <w:sz w:val="18"/>
                <w:szCs w:val="18"/>
              </w:rPr>
            </w:pPr>
            <w:r w:rsidRPr="00A044E8">
              <w:rPr>
                <w:sz w:val="18"/>
                <w:szCs w:val="18"/>
                <w:u w:val="single"/>
              </w:rPr>
              <w:t>Reviewer 1</w:t>
            </w:r>
            <w:r w:rsidRPr="00A044E8">
              <w:rPr>
                <w:sz w:val="18"/>
                <w:szCs w:val="18"/>
              </w:rPr>
              <w:t xml:space="preserve">: 1 </w:t>
            </w:r>
            <w:proofErr w:type="spellStart"/>
            <w:r w:rsidRPr="00A044E8">
              <w:rPr>
                <w:sz w:val="18"/>
                <w:szCs w:val="18"/>
              </w:rPr>
              <w:t>mo</w:t>
            </w:r>
            <w:proofErr w:type="spellEnd"/>
          </w:p>
          <w:p w14:paraId="3400625E" w14:textId="77777777" w:rsidR="000C1C3B" w:rsidRPr="00A044E8" w:rsidRDefault="000C1C3B" w:rsidP="00896B85">
            <w:pPr>
              <w:pStyle w:val="ListParagraph"/>
              <w:ind w:left="0"/>
              <w:rPr>
                <w:sz w:val="18"/>
                <w:szCs w:val="18"/>
                <w:u w:val="single"/>
              </w:rPr>
            </w:pPr>
            <w:r w:rsidRPr="00A044E8">
              <w:rPr>
                <w:sz w:val="18"/>
                <w:szCs w:val="18"/>
                <w:u w:val="single"/>
              </w:rPr>
              <w:t xml:space="preserve">Reviewer 2: </w:t>
            </w:r>
          </w:p>
          <w:p w14:paraId="0DCA7682" w14:textId="77777777" w:rsidR="000C1C3B" w:rsidRPr="00A044E8" w:rsidRDefault="000C1C3B" w:rsidP="003371BF">
            <w:pPr>
              <w:pStyle w:val="ListParagraph"/>
              <w:numPr>
                <w:ilvl w:val="0"/>
                <w:numId w:val="15"/>
              </w:numPr>
              <w:rPr>
                <w:sz w:val="18"/>
                <w:szCs w:val="18"/>
              </w:rPr>
            </w:pPr>
            <w:r w:rsidRPr="00A044E8">
              <w:rPr>
                <w:sz w:val="18"/>
                <w:szCs w:val="18"/>
              </w:rPr>
              <w:t xml:space="preserve">Wearables/sensors and robot-assisted gait trainers, 3 </w:t>
            </w:r>
            <w:proofErr w:type="spellStart"/>
            <w:r w:rsidRPr="00A044E8">
              <w:rPr>
                <w:sz w:val="18"/>
                <w:szCs w:val="18"/>
              </w:rPr>
              <w:t>mos</w:t>
            </w:r>
            <w:proofErr w:type="spellEnd"/>
          </w:p>
          <w:p w14:paraId="2B312235" w14:textId="77777777" w:rsidR="000C1C3B" w:rsidRPr="00A044E8" w:rsidRDefault="000C1C3B" w:rsidP="003371BF">
            <w:pPr>
              <w:pStyle w:val="ListParagraph"/>
              <w:numPr>
                <w:ilvl w:val="0"/>
                <w:numId w:val="15"/>
              </w:numPr>
              <w:rPr>
                <w:sz w:val="18"/>
                <w:szCs w:val="18"/>
              </w:rPr>
            </w:pPr>
            <w:proofErr w:type="spellStart"/>
            <w:r w:rsidRPr="00A044E8">
              <w:rPr>
                <w:sz w:val="18"/>
                <w:szCs w:val="18"/>
              </w:rPr>
              <w:t>rTMS</w:t>
            </w:r>
            <w:proofErr w:type="spellEnd"/>
            <w:r w:rsidRPr="00A044E8">
              <w:rPr>
                <w:sz w:val="18"/>
                <w:szCs w:val="18"/>
              </w:rPr>
              <w:t xml:space="preserve">, 6 </w:t>
            </w:r>
            <w:proofErr w:type="spellStart"/>
            <w:r w:rsidRPr="00A044E8">
              <w:rPr>
                <w:sz w:val="18"/>
                <w:szCs w:val="18"/>
              </w:rPr>
              <w:t>mos</w:t>
            </w:r>
            <w:proofErr w:type="spellEnd"/>
          </w:p>
          <w:p w14:paraId="16FA21F3" w14:textId="77777777" w:rsidR="000C1C3B" w:rsidRPr="00A044E8" w:rsidRDefault="000C1C3B" w:rsidP="003371BF">
            <w:pPr>
              <w:pStyle w:val="ListParagraph"/>
              <w:numPr>
                <w:ilvl w:val="0"/>
                <w:numId w:val="15"/>
              </w:numPr>
              <w:rPr>
                <w:sz w:val="18"/>
                <w:szCs w:val="18"/>
              </w:rPr>
            </w:pPr>
            <w:r w:rsidRPr="00A044E8">
              <w:rPr>
                <w:sz w:val="18"/>
                <w:szCs w:val="18"/>
              </w:rPr>
              <w:t>DBS and ablations (</w:t>
            </w:r>
            <w:proofErr w:type="spellStart"/>
            <w:r w:rsidRPr="00A044E8">
              <w:rPr>
                <w:sz w:val="18"/>
                <w:szCs w:val="18"/>
              </w:rPr>
              <w:t>subthalamotomies</w:t>
            </w:r>
            <w:proofErr w:type="spellEnd"/>
            <w:r w:rsidRPr="00A044E8">
              <w:rPr>
                <w:sz w:val="18"/>
                <w:szCs w:val="18"/>
              </w:rPr>
              <w:t xml:space="preserve"> and </w:t>
            </w:r>
            <w:proofErr w:type="spellStart"/>
            <w:r w:rsidRPr="00A044E8">
              <w:rPr>
                <w:sz w:val="18"/>
                <w:szCs w:val="18"/>
              </w:rPr>
              <w:t>MRg</w:t>
            </w:r>
            <w:proofErr w:type="spellEnd"/>
            <w:r w:rsidRPr="00A044E8">
              <w:rPr>
                <w:sz w:val="18"/>
                <w:szCs w:val="18"/>
              </w:rPr>
              <w:t>-FUS), 1 yr</w:t>
            </w:r>
          </w:p>
          <w:p w14:paraId="35A8EB34" w14:textId="132709BE" w:rsidR="000C1C3B" w:rsidRPr="00A044E8" w:rsidRDefault="000C1C3B" w:rsidP="00896B85">
            <w:pPr>
              <w:pStyle w:val="ListParagraph"/>
              <w:ind w:left="0"/>
              <w:rPr>
                <w:sz w:val="18"/>
                <w:szCs w:val="18"/>
              </w:rPr>
            </w:pPr>
            <w:r w:rsidRPr="00A044E8">
              <w:rPr>
                <w:sz w:val="18"/>
                <w:szCs w:val="18"/>
                <w:u w:val="single"/>
              </w:rPr>
              <w:t>Reviewer 3</w:t>
            </w:r>
            <w:r w:rsidRPr="00A044E8">
              <w:rPr>
                <w:sz w:val="18"/>
                <w:szCs w:val="18"/>
              </w:rPr>
              <w:t xml:space="preserve">: 1, 3 and 6 </w:t>
            </w:r>
            <w:proofErr w:type="spellStart"/>
            <w:r w:rsidRPr="00A044E8">
              <w:rPr>
                <w:sz w:val="18"/>
                <w:szCs w:val="18"/>
              </w:rPr>
              <w:t>mos</w:t>
            </w:r>
            <w:proofErr w:type="spellEnd"/>
          </w:p>
        </w:tc>
      </w:tr>
      <w:tr w:rsidR="00791CA4" w:rsidRPr="00A044E8" w14:paraId="79429BAB" w14:textId="77777777" w:rsidTr="00363385">
        <w:tc>
          <w:tcPr>
            <w:tcW w:w="2294" w:type="dxa"/>
          </w:tcPr>
          <w:p w14:paraId="2BC449C4" w14:textId="651EA04C" w:rsidR="005362D0" w:rsidRPr="00A044E8" w:rsidRDefault="000C1C3B" w:rsidP="00896B85">
            <w:pPr>
              <w:pStyle w:val="ListParagraph"/>
              <w:ind w:left="0"/>
              <w:rPr>
                <w:b/>
                <w:bCs/>
                <w:sz w:val="18"/>
                <w:szCs w:val="18"/>
              </w:rPr>
            </w:pPr>
            <w:r w:rsidRPr="00A044E8">
              <w:rPr>
                <w:b/>
                <w:bCs/>
                <w:sz w:val="18"/>
                <w:szCs w:val="18"/>
              </w:rPr>
              <w:t>Device durability</w:t>
            </w:r>
          </w:p>
        </w:tc>
        <w:tc>
          <w:tcPr>
            <w:tcW w:w="5621" w:type="dxa"/>
          </w:tcPr>
          <w:p w14:paraId="15B85AD1" w14:textId="77777777" w:rsidR="00791CA4" w:rsidRPr="00A044E8" w:rsidRDefault="00791CA4" w:rsidP="00791CA4">
            <w:pPr>
              <w:pStyle w:val="ListParagraph"/>
              <w:ind w:left="0"/>
              <w:rPr>
                <w:sz w:val="18"/>
                <w:szCs w:val="18"/>
              </w:rPr>
            </w:pPr>
            <w:r w:rsidRPr="00A044E8">
              <w:rPr>
                <w:sz w:val="18"/>
                <w:szCs w:val="18"/>
                <w:u w:val="single"/>
              </w:rPr>
              <w:t>Reviewer 1</w:t>
            </w:r>
            <w:r w:rsidRPr="00A044E8">
              <w:rPr>
                <w:sz w:val="18"/>
                <w:szCs w:val="18"/>
              </w:rPr>
              <w:t xml:space="preserve">: 1 </w:t>
            </w:r>
            <w:proofErr w:type="spellStart"/>
            <w:r w:rsidRPr="00A044E8">
              <w:rPr>
                <w:sz w:val="18"/>
                <w:szCs w:val="18"/>
              </w:rPr>
              <w:t>mo</w:t>
            </w:r>
            <w:proofErr w:type="spellEnd"/>
          </w:p>
          <w:p w14:paraId="45B7C054" w14:textId="77777777" w:rsidR="00791CA4" w:rsidRPr="00A044E8" w:rsidRDefault="00791CA4" w:rsidP="00791CA4">
            <w:pPr>
              <w:pStyle w:val="ListParagraph"/>
              <w:ind w:left="0"/>
              <w:rPr>
                <w:sz w:val="18"/>
                <w:szCs w:val="18"/>
                <w:u w:val="single"/>
              </w:rPr>
            </w:pPr>
            <w:r w:rsidRPr="00A044E8">
              <w:rPr>
                <w:sz w:val="18"/>
                <w:szCs w:val="18"/>
                <w:u w:val="single"/>
              </w:rPr>
              <w:t xml:space="preserve">Reviewer 2: </w:t>
            </w:r>
          </w:p>
          <w:p w14:paraId="355A3A52" w14:textId="2ADA4A25" w:rsidR="00791CA4" w:rsidRPr="00A044E8" w:rsidRDefault="00791CA4" w:rsidP="003371BF">
            <w:pPr>
              <w:pStyle w:val="ListParagraph"/>
              <w:numPr>
                <w:ilvl w:val="0"/>
                <w:numId w:val="16"/>
              </w:numPr>
              <w:rPr>
                <w:sz w:val="18"/>
                <w:szCs w:val="18"/>
              </w:rPr>
            </w:pPr>
            <w:r w:rsidRPr="00A044E8">
              <w:rPr>
                <w:sz w:val="18"/>
                <w:szCs w:val="18"/>
              </w:rPr>
              <w:t xml:space="preserve">Wearables/sensors and robot-assisted gait trainers, 6 </w:t>
            </w:r>
            <w:proofErr w:type="spellStart"/>
            <w:r w:rsidRPr="00A044E8">
              <w:rPr>
                <w:sz w:val="18"/>
                <w:szCs w:val="18"/>
              </w:rPr>
              <w:t>mos</w:t>
            </w:r>
            <w:proofErr w:type="spellEnd"/>
          </w:p>
          <w:p w14:paraId="617C3387" w14:textId="42BEAC56" w:rsidR="00791CA4" w:rsidRPr="00A044E8" w:rsidRDefault="00791CA4" w:rsidP="003371BF">
            <w:pPr>
              <w:pStyle w:val="ListParagraph"/>
              <w:numPr>
                <w:ilvl w:val="0"/>
                <w:numId w:val="16"/>
              </w:numPr>
              <w:rPr>
                <w:sz w:val="18"/>
                <w:szCs w:val="18"/>
              </w:rPr>
            </w:pPr>
            <w:proofErr w:type="spellStart"/>
            <w:r w:rsidRPr="00A044E8">
              <w:rPr>
                <w:sz w:val="18"/>
                <w:szCs w:val="18"/>
              </w:rPr>
              <w:t>rTMS</w:t>
            </w:r>
            <w:proofErr w:type="spellEnd"/>
            <w:r w:rsidRPr="00A044E8">
              <w:rPr>
                <w:sz w:val="18"/>
                <w:szCs w:val="18"/>
              </w:rPr>
              <w:t>, No response</w:t>
            </w:r>
          </w:p>
          <w:p w14:paraId="474AFF3D" w14:textId="2494C3E2" w:rsidR="00791CA4" w:rsidRPr="00A044E8" w:rsidRDefault="00791CA4" w:rsidP="003371BF">
            <w:pPr>
              <w:pStyle w:val="ListParagraph"/>
              <w:numPr>
                <w:ilvl w:val="0"/>
                <w:numId w:val="16"/>
              </w:numPr>
              <w:rPr>
                <w:sz w:val="18"/>
                <w:szCs w:val="18"/>
              </w:rPr>
            </w:pPr>
            <w:r w:rsidRPr="00A044E8">
              <w:rPr>
                <w:sz w:val="18"/>
                <w:szCs w:val="18"/>
              </w:rPr>
              <w:t xml:space="preserve">DBS, should last for </w:t>
            </w:r>
            <w:r w:rsidRPr="00A044E8">
              <w:rPr>
                <w:rFonts w:cstheme="minorHAnsi"/>
                <w:sz w:val="18"/>
                <w:szCs w:val="18"/>
              </w:rPr>
              <w:t>≥</w:t>
            </w:r>
            <w:r w:rsidRPr="00A044E8">
              <w:rPr>
                <w:sz w:val="18"/>
                <w:szCs w:val="18"/>
              </w:rPr>
              <w:t>5 yrs</w:t>
            </w:r>
          </w:p>
          <w:p w14:paraId="74D1B6C7" w14:textId="6D33DE64" w:rsidR="00791CA4" w:rsidRPr="00A044E8" w:rsidRDefault="00791CA4" w:rsidP="003371BF">
            <w:pPr>
              <w:pStyle w:val="ListParagraph"/>
              <w:numPr>
                <w:ilvl w:val="0"/>
                <w:numId w:val="16"/>
              </w:numPr>
              <w:rPr>
                <w:sz w:val="18"/>
                <w:szCs w:val="18"/>
              </w:rPr>
            </w:pPr>
            <w:r w:rsidRPr="00A044E8">
              <w:rPr>
                <w:sz w:val="18"/>
                <w:szCs w:val="18"/>
              </w:rPr>
              <w:t>Ablations (</w:t>
            </w:r>
            <w:proofErr w:type="spellStart"/>
            <w:r w:rsidRPr="00A044E8">
              <w:rPr>
                <w:sz w:val="18"/>
                <w:szCs w:val="18"/>
              </w:rPr>
              <w:t>subthalamotomies</w:t>
            </w:r>
            <w:proofErr w:type="spellEnd"/>
            <w:r w:rsidRPr="00A044E8">
              <w:rPr>
                <w:sz w:val="18"/>
                <w:szCs w:val="18"/>
              </w:rPr>
              <w:t xml:space="preserve"> and </w:t>
            </w:r>
            <w:proofErr w:type="spellStart"/>
            <w:r w:rsidRPr="00A044E8">
              <w:rPr>
                <w:sz w:val="18"/>
                <w:szCs w:val="18"/>
              </w:rPr>
              <w:t>MRg</w:t>
            </w:r>
            <w:proofErr w:type="spellEnd"/>
            <w:r w:rsidRPr="00A044E8">
              <w:rPr>
                <w:sz w:val="18"/>
                <w:szCs w:val="18"/>
              </w:rPr>
              <w:t>-FUS), N/A</w:t>
            </w:r>
          </w:p>
          <w:p w14:paraId="42F4B3F3" w14:textId="7FAA45B5" w:rsidR="00791CA4" w:rsidRPr="00A044E8" w:rsidRDefault="00791CA4" w:rsidP="00791CA4">
            <w:pPr>
              <w:rPr>
                <w:sz w:val="18"/>
                <w:szCs w:val="18"/>
              </w:rPr>
            </w:pPr>
            <w:r w:rsidRPr="00A044E8">
              <w:rPr>
                <w:sz w:val="18"/>
                <w:szCs w:val="18"/>
                <w:u w:val="single"/>
              </w:rPr>
              <w:t>Reviewer 3</w:t>
            </w:r>
            <w:r w:rsidRPr="00A044E8">
              <w:rPr>
                <w:sz w:val="18"/>
                <w:szCs w:val="18"/>
              </w:rPr>
              <w:t>: 1 yr and 2 yrs</w:t>
            </w:r>
          </w:p>
          <w:p w14:paraId="244EACA9" w14:textId="38830735" w:rsidR="005362D0" w:rsidRPr="00A044E8" w:rsidRDefault="005362D0" w:rsidP="00896B85">
            <w:pPr>
              <w:pStyle w:val="ListParagraph"/>
              <w:ind w:left="0"/>
              <w:rPr>
                <w:sz w:val="18"/>
                <w:szCs w:val="18"/>
              </w:rPr>
            </w:pPr>
          </w:p>
        </w:tc>
      </w:tr>
      <w:tr w:rsidR="00791CA4" w:rsidRPr="005362D0" w14:paraId="4545571C" w14:textId="77777777" w:rsidTr="00363385">
        <w:tc>
          <w:tcPr>
            <w:tcW w:w="7915" w:type="dxa"/>
            <w:gridSpan w:val="2"/>
          </w:tcPr>
          <w:p w14:paraId="318137C5" w14:textId="04C6AE53" w:rsidR="00791CA4" w:rsidRPr="00791CA4" w:rsidRDefault="00791CA4" w:rsidP="00791CA4">
            <w:pPr>
              <w:pStyle w:val="ListParagraph"/>
              <w:ind w:left="0"/>
              <w:rPr>
                <w:sz w:val="18"/>
                <w:szCs w:val="18"/>
              </w:rPr>
            </w:pPr>
            <w:r w:rsidRPr="00A044E8">
              <w:rPr>
                <w:b/>
                <w:bCs/>
                <w:sz w:val="18"/>
                <w:szCs w:val="18"/>
              </w:rPr>
              <w:t xml:space="preserve">Abbreviations: </w:t>
            </w:r>
            <w:r w:rsidRPr="00A044E8">
              <w:rPr>
                <w:sz w:val="18"/>
                <w:szCs w:val="18"/>
              </w:rPr>
              <w:t xml:space="preserve">DBS: deep brain stimulation; </w:t>
            </w:r>
            <w:proofErr w:type="spellStart"/>
            <w:r w:rsidRPr="00A044E8">
              <w:rPr>
                <w:sz w:val="18"/>
                <w:szCs w:val="18"/>
              </w:rPr>
              <w:t>MRg</w:t>
            </w:r>
            <w:proofErr w:type="spellEnd"/>
            <w:r w:rsidRPr="00A044E8">
              <w:rPr>
                <w:sz w:val="18"/>
                <w:szCs w:val="18"/>
              </w:rPr>
              <w:t xml:space="preserve">-FUS: MRI-guided focused ultrasound; </w:t>
            </w:r>
            <w:proofErr w:type="spellStart"/>
            <w:r w:rsidRPr="00A044E8">
              <w:rPr>
                <w:sz w:val="18"/>
                <w:szCs w:val="18"/>
              </w:rPr>
              <w:t>rTMS</w:t>
            </w:r>
            <w:proofErr w:type="spellEnd"/>
            <w:r w:rsidRPr="00A044E8">
              <w:rPr>
                <w:sz w:val="18"/>
                <w:szCs w:val="18"/>
              </w:rPr>
              <w:t>: repetitive transcranial magnetic stimulation.</w:t>
            </w:r>
            <w:r w:rsidRPr="003371BF">
              <w:rPr>
                <w:sz w:val="18"/>
                <w:szCs w:val="18"/>
              </w:rPr>
              <w:t xml:space="preserve"> </w:t>
            </w:r>
          </w:p>
        </w:tc>
      </w:tr>
    </w:tbl>
    <w:p w14:paraId="59F8E9B6" w14:textId="77777777" w:rsidR="00DF708F" w:rsidRPr="00DF708F" w:rsidRDefault="00DF708F" w:rsidP="00896B85">
      <w:pPr>
        <w:pStyle w:val="ListParagraph"/>
        <w:ind w:left="0"/>
      </w:pPr>
    </w:p>
    <w:p w14:paraId="7ED2B5A9" w14:textId="77777777" w:rsidR="00896B85" w:rsidRDefault="00896B85" w:rsidP="00896B85">
      <w:pPr>
        <w:pStyle w:val="ListParagraph"/>
        <w:ind w:left="0"/>
        <w:rPr>
          <w:b/>
          <w:bCs/>
        </w:rPr>
      </w:pPr>
    </w:p>
    <w:bookmarkEnd w:id="8"/>
    <w:p w14:paraId="74900F20" w14:textId="77777777" w:rsidR="00896B85" w:rsidRDefault="00896B85" w:rsidP="00896B85">
      <w:pPr>
        <w:pStyle w:val="ListParagraph"/>
        <w:ind w:left="0"/>
        <w:rPr>
          <w:b/>
          <w:bCs/>
        </w:rPr>
      </w:pPr>
    </w:p>
    <w:p w14:paraId="1E97B5EB" w14:textId="77777777" w:rsidR="00AE494C" w:rsidRDefault="00AE494C" w:rsidP="00896B85">
      <w:pPr>
        <w:pStyle w:val="ListParagraph"/>
        <w:ind w:left="0"/>
        <w:rPr>
          <w:b/>
          <w:bCs/>
        </w:rPr>
      </w:pPr>
    </w:p>
    <w:sectPr w:rsidR="00AE494C" w:rsidSect="002667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7DF7F" w14:textId="77777777" w:rsidR="00347627" w:rsidRDefault="00347627" w:rsidP="00CF5886">
      <w:pPr>
        <w:spacing w:after="0" w:line="240" w:lineRule="auto"/>
      </w:pPr>
      <w:r>
        <w:separator/>
      </w:r>
    </w:p>
  </w:endnote>
  <w:endnote w:type="continuationSeparator" w:id="0">
    <w:p w14:paraId="2FE4BE4A" w14:textId="77777777" w:rsidR="00347627" w:rsidRDefault="00347627" w:rsidP="00CF58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B4F03" w14:textId="77777777" w:rsidR="00436849" w:rsidRDefault="004368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3797068"/>
      <w:docPartObj>
        <w:docPartGallery w:val="Page Numbers (Bottom of Page)"/>
        <w:docPartUnique/>
      </w:docPartObj>
    </w:sdtPr>
    <w:sdtEndPr>
      <w:rPr>
        <w:noProof/>
      </w:rPr>
    </w:sdtEndPr>
    <w:sdtContent>
      <w:p w14:paraId="24811090" w14:textId="744504A3" w:rsidR="00CF5886" w:rsidRDefault="00CF588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4BD9AD0" w14:textId="77777777" w:rsidR="00CF5886" w:rsidRDefault="00CF58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134E9" w14:textId="77777777" w:rsidR="00436849" w:rsidRDefault="004368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672C7" w14:textId="77777777" w:rsidR="00347627" w:rsidRDefault="00347627" w:rsidP="00CF5886">
      <w:pPr>
        <w:spacing w:after="0" w:line="240" w:lineRule="auto"/>
      </w:pPr>
      <w:r>
        <w:separator/>
      </w:r>
    </w:p>
  </w:footnote>
  <w:footnote w:type="continuationSeparator" w:id="0">
    <w:p w14:paraId="6E3C21F5" w14:textId="77777777" w:rsidR="00347627" w:rsidRDefault="00347627" w:rsidP="00CF58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5C7E2" w14:textId="77777777" w:rsidR="00436849" w:rsidRDefault="004368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069F2" w14:textId="640FDBF5" w:rsidR="00436849" w:rsidRDefault="00436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6AA8" w14:textId="77777777" w:rsidR="00436849" w:rsidRDefault="00436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62A4E"/>
    <w:multiLevelType w:val="hybridMultilevel"/>
    <w:tmpl w:val="5E2E8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6D3E9B"/>
    <w:multiLevelType w:val="hybridMultilevel"/>
    <w:tmpl w:val="14369C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737DF6"/>
    <w:multiLevelType w:val="hybridMultilevel"/>
    <w:tmpl w:val="221270D6"/>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 w15:restartNumberingAfterBreak="0">
    <w:nsid w:val="0B6609DF"/>
    <w:multiLevelType w:val="hybridMultilevel"/>
    <w:tmpl w:val="58BA6D6A"/>
    <w:lvl w:ilvl="0" w:tplc="0409000D">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B7F31E2"/>
    <w:multiLevelType w:val="hybridMultilevel"/>
    <w:tmpl w:val="D14AC1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CB0C36"/>
    <w:multiLevelType w:val="hybridMultilevel"/>
    <w:tmpl w:val="67FE02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A777C8"/>
    <w:multiLevelType w:val="hybridMultilevel"/>
    <w:tmpl w:val="349462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7B1F70"/>
    <w:multiLevelType w:val="hybridMultilevel"/>
    <w:tmpl w:val="2452A41E"/>
    <w:lvl w:ilvl="0" w:tplc="F1026D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82444"/>
    <w:multiLevelType w:val="hybridMultilevel"/>
    <w:tmpl w:val="084CB1A2"/>
    <w:lvl w:ilvl="0" w:tplc="04090001">
      <w:start w:val="1"/>
      <w:numFmt w:val="bullet"/>
      <w:lvlText w:val=""/>
      <w:lvlJc w:val="left"/>
      <w:pPr>
        <w:ind w:left="576" w:hanging="360"/>
      </w:pPr>
      <w:rPr>
        <w:rFonts w:ascii="Symbol" w:hAnsi="Symbol"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9" w15:restartNumberingAfterBreak="0">
    <w:nsid w:val="1AF13DF4"/>
    <w:multiLevelType w:val="hybridMultilevel"/>
    <w:tmpl w:val="CEF65670"/>
    <w:lvl w:ilvl="0" w:tplc="F1026D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4B3A70"/>
    <w:multiLevelType w:val="hybridMultilevel"/>
    <w:tmpl w:val="49ACB050"/>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8A2B6E"/>
    <w:multiLevelType w:val="hybridMultilevel"/>
    <w:tmpl w:val="9AB000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3F07909"/>
    <w:multiLevelType w:val="hybridMultilevel"/>
    <w:tmpl w:val="3DAAEED0"/>
    <w:lvl w:ilvl="0" w:tplc="0409000D">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A622FED"/>
    <w:multiLevelType w:val="hybridMultilevel"/>
    <w:tmpl w:val="86921040"/>
    <w:lvl w:ilvl="0" w:tplc="04090001">
      <w:start w:val="1"/>
      <w:numFmt w:val="bullet"/>
      <w:lvlText w:val=""/>
      <w:lvlJc w:val="left"/>
      <w:pPr>
        <w:ind w:left="144" w:hanging="360"/>
      </w:pPr>
      <w:rPr>
        <w:rFonts w:ascii="Symbol" w:hAnsi="Symbol" w:hint="default"/>
      </w:rPr>
    </w:lvl>
    <w:lvl w:ilvl="1" w:tplc="04090003" w:tentative="1">
      <w:start w:val="1"/>
      <w:numFmt w:val="bullet"/>
      <w:lvlText w:val="o"/>
      <w:lvlJc w:val="left"/>
      <w:pPr>
        <w:ind w:left="864" w:hanging="360"/>
      </w:pPr>
      <w:rPr>
        <w:rFonts w:ascii="Courier New" w:hAnsi="Courier New" w:cs="Courier New" w:hint="default"/>
      </w:rPr>
    </w:lvl>
    <w:lvl w:ilvl="2" w:tplc="04090005" w:tentative="1">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14" w15:restartNumberingAfterBreak="0">
    <w:nsid w:val="315A02C1"/>
    <w:multiLevelType w:val="hybridMultilevel"/>
    <w:tmpl w:val="C7CC65F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4AEA4941"/>
    <w:multiLevelType w:val="hybridMultilevel"/>
    <w:tmpl w:val="8B70D4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C95500"/>
    <w:multiLevelType w:val="hybridMultilevel"/>
    <w:tmpl w:val="3288F67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64BC5188"/>
    <w:multiLevelType w:val="hybridMultilevel"/>
    <w:tmpl w:val="22D6F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5373DA"/>
    <w:multiLevelType w:val="hybridMultilevel"/>
    <w:tmpl w:val="92BCD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D26104"/>
    <w:multiLevelType w:val="hybridMultilevel"/>
    <w:tmpl w:val="880257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CF4432"/>
    <w:multiLevelType w:val="hybridMultilevel"/>
    <w:tmpl w:val="D4788C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7F849D0"/>
    <w:multiLevelType w:val="hybridMultilevel"/>
    <w:tmpl w:val="F4285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3072077">
    <w:abstractNumId w:val="15"/>
  </w:num>
  <w:num w:numId="2" w16cid:durableId="397166122">
    <w:abstractNumId w:val="2"/>
  </w:num>
  <w:num w:numId="3" w16cid:durableId="1276904471">
    <w:abstractNumId w:val="5"/>
  </w:num>
  <w:num w:numId="4" w16cid:durableId="2069375105">
    <w:abstractNumId w:val="6"/>
  </w:num>
  <w:num w:numId="5" w16cid:durableId="1714646416">
    <w:abstractNumId w:val="20"/>
  </w:num>
  <w:num w:numId="6" w16cid:durableId="1970209347">
    <w:abstractNumId w:val="19"/>
  </w:num>
  <w:num w:numId="7" w16cid:durableId="991830434">
    <w:abstractNumId w:val="21"/>
  </w:num>
  <w:num w:numId="8" w16cid:durableId="1297763620">
    <w:abstractNumId w:val="8"/>
  </w:num>
  <w:num w:numId="9" w16cid:durableId="249775570">
    <w:abstractNumId w:val="7"/>
  </w:num>
  <w:num w:numId="10" w16cid:durableId="1992326886">
    <w:abstractNumId w:val="11"/>
  </w:num>
  <w:num w:numId="11" w16cid:durableId="2040812077">
    <w:abstractNumId w:val="9"/>
  </w:num>
  <w:num w:numId="12" w16cid:durableId="97603623">
    <w:abstractNumId w:val="13"/>
  </w:num>
  <w:num w:numId="13" w16cid:durableId="850798753">
    <w:abstractNumId w:val="17"/>
  </w:num>
  <w:num w:numId="14" w16cid:durableId="49883358">
    <w:abstractNumId w:val="0"/>
  </w:num>
  <w:num w:numId="15" w16cid:durableId="2143889037">
    <w:abstractNumId w:val="14"/>
  </w:num>
  <w:num w:numId="16" w16cid:durableId="336886524">
    <w:abstractNumId w:val="16"/>
  </w:num>
  <w:num w:numId="17" w16cid:durableId="1283073382">
    <w:abstractNumId w:val="18"/>
  </w:num>
  <w:num w:numId="18" w16cid:durableId="447628422">
    <w:abstractNumId w:val="4"/>
  </w:num>
  <w:num w:numId="19" w16cid:durableId="108625524">
    <w:abstractNumId w:val="1"/>
  </w:num>
  <w:num w:numId="20" w16cid:durableId="1816485061">
    <w:abstractNumId w:val="3"/>
  </w:num>
  <w:num w:numId="21" w16cid:durableId="698506393">
    <w:abstractNumId w:val="12"/>
  </w:num>
  <w:num w:numId="22" w16cid:durableId="205838465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284"/>
    <w:rsid w:val="00000200"/>
    <w:rsid w:val="00000AB7"/>
    <w:rsid w:val="000042B0"/>
    <w:rsid w:val="00005E93"/>
    <w:rsid w:val="00015E94"/>
    <w:rsid w:val="00017CB5"/>
    <w:rsid w:val="000239BC"/>
    <w:rsid w:val="0002570F"/>
    <w:rsid w:val="0004059A"/>
    <w:rsid w:val="00043214"/>
    <w:rsid w:val="00046D71"/>
    <w:rsid w:val="00060D6F"/>
    <w:rsid w:val="00066334"/>
    <w:rsid w:val="0007168C"/>
    <w:rsid w:val="00073391"/>
    <w:rsid w:val="00074489"/>
    <w:rsid w:val="000941DC"/>
    <w:rsid w:val="00094FEA"/>
    <w:rsid w:val="000A429D"/>
    <w:rsid w:val="000C1C3B"/>
    <w:rsid w:val="000F057D"/>
    <w:rsid w:val="000F2AAD"/>
    <w:rsid w:val="000F56E7"/>
    <w:rsid w:val="00103C2F"/>
    <w:rsid w:val="00112103"/>
    <w:rsid w:val="00116E00"/>
    <w:rsid w:val="00120651"/>
    <w:rsid w:val="00121035"/>
    <w:rsid w:val="00134CC7"/>
    <w:rsid w:val="001410A7"/>
    <w:rsid w:val="00144DED"/>
    <w:rsid w:val="00145D18"/>
    <w:rsid w:val="00150D71"/>
    <w:rsid w:val="00164D0B"/>
    <w:rsid w:val="001668E6"/>
    <w:rsid w:val="001678BF"/>
    <w:rsid w:val="001711F6"/>
    <w:rsid w:val="00171DC8"/>
    <w:rsid w:val="00173D0A"/>
    <w:rsid w:val="00181BAB"/>
    <w:rsid w:val="001864DA"/>
    <w:rsid w:val="00190C71"/>
    <w:rsid w:val="0019561D"/>
    <w:rsid w:val="00195C97"/>
    <w:rsid w:val="001A0265"/>
    <w:rsid w:val="001A3EBE"/>
    <w:rsid w:val="001B096B"/>
    <w:rsid w:val="001B2589"/>
    <w:rsid w:val="001C0A03"/>
    <w:rsid w:val="001C2726"/>
    <w:rsid w:val="001C3763"/>
    <w:rsid w:val="001C4922"/>
    <w:rsid w:val="001C4E1E"/>
    <w:rsid w:val="001C5A55"/>
    <w:rsid w:val="001C6209"/>
    <w:rsid w:val="001E4AC8"/>
    <w:rsid w:val="001F1992"/>
    <w:rsid w:val="001F37B8"/>
    <w:rsid w:val="001F5383"/>
    <w:rsid w:val="001F79A9"/>
    <w:rsid w:val="00200BC9"/>
    <w:rsid w:val="0020315B"/>
    <w:rsid w:val="00203F43"/>
    <w:rsid w:val="00204836"/>
    <w:rsid w:val="00210921"/>
    <w:rsid w:val="00211556"/>
    <w:rsid w:val="00212D25"/>
    <w:rsid w:val="00214AC7"/>
    <w:rsid w:val="0021517D"/>
    <w:rsid w:val="002179BD"/>
    <w:rsid w:val="0023736C"/>
    <w:rsid w:val="0024253E"/>
    <w:rsid w:val="00252B83"/>
    <w:rsid w:val="002640B3"/>
    <w:rsid w:val="00266741"/>
    <w:rsid w:val="0027075E"/>
    <w:rsid w:val="00272A69"/>
    <w:rsid w:val="00276FA3"/>
    <w:rsid w:val="00281D8E"/>
    <w:rsid w:val="00293BFD"/>
    <w:rsid w:val="0029553C"/>
    <w:rsid w:val="00296F6F"/>
    <w:rsid w:val="002A5BBD"/>
    <w:rsid w:val="002B0529"/>
    <w:rsid w:val="002B34DA"/>
    <w:rsid w:val="002B5331"/>
    <w:rsid w:val="002B67E3"/>
    <w:rsid w:val="002B71C9"/>
    <w:rsid w:val="002C2807"/>
    <w:rsid w:val="002C3AA5"/>
    <w:rsid w:val="002C6FA7"/>
    <w:rsid w:val="002D3068"/>
    <w:rsid w:val="002D7F7B"/>
    <w:rsid w:val="002E0104"/>
    <w:rsid w:val="002E05DC"/>
    <w:rsid w:val="002E1A0E"/>
    <w:rsid w:val="002E24B5"/>
    <w:rsid w:val="002E5E30"/>
    <w:rsid w:val="002E7E29"/>
    <w:rsid w:val="00300352"/>
    <w:rsid w:val="003033F6"/>
    <w:rsid w:val="00310A83"/>
    <w:rsid w:val="00321AFA"/>
    <w:rsid w:val="00326A60"/>
    <w:rsid w:val="00331299"/>
    <w:rsid w:val="00333F29"/>
    <w:rsid w:val="003371BF"/>
    <w:rsid w:val="00337A84"/>
    <w:rsid w:val="0034611B"/>
    <w:rsid w:val="00347627"/>
    <w:rsid w:val="003476EF"/>
    <w:rsid w:val="00347745"/>
    <w:rsid w:val="00363385"/>
    <w:rsid w:val="0036750E"/>
    <w:rsid w:val="00370733"/>
    <w:rsid w:val="00374066"/>
    <w:rsid w:val="00381BBF"/>
    <w:rsid w:val="00382459"/>
    <w:rsid w:val="0039086F"/>
    <w:rsid w:val="00393822"/>
    <w:rsid w:val="00396254"/>
    <w:rsid w:val="003A15EB"/>
    <w:rsid w:val="003A33AF"/>
    <w:rsid w:val="003B08C1"/>
    <w:rsid w:val="003B57E5"/>
    <w:rsid w:val="003C056A"/>
    <w:rsid w:val="003C4121"/>
    <w:rsid w:val="003C7B79"/>
    <w:rsid w:val="003D09B4"/>
    <w:rsid w:val="003D6143"/>
    <w:rsid w:val="004013A2"/>
    <w:rsid w:val="004161A3"/>
    <w:rsid w:val="00421BDD"/>
    <w:rsid w:val="00424001"/>
    <w:rsid w:val="004330FF"/>
    <w:rsid w:val="00436849"/>
    <w:rsid w:val="00437900"/>
    <w:rsid w:val="00441CEA"/>
    <w:rsid w:val="00446F7E"/>
    <w:rsid w:val="00454E81"/>
    <w:rsid w:val="00455C37"/>
    <w:rsid w:val="00460A57"/>
    <w:rsid w:val="00461FC5"/>
    <w:rsid w:val="00462311"/>
    <w:rsid w:val="0046408D"/>
    <w:rsid w:val="00465C58"/>
    <w:rsid w:val="00465D0B"/>
    <w:rsid w:val="004805D8"/>
    <w:rsid w:val="004A3EA9"/>
    <w:rsid w:val="004A41F3"/>
    <w:rsid w:val="004A5699"/>
    <w:rsid w:val="004A61AA"/>
    <w:rsid w:val="004C4965"/>
    <w:rsid w:val="004C49E1"/>
    <w:rsid w:val="004C7980"/>
    <w:rsid w:val="004D3D5F"/>
    <w:rsid w:val="004E5AB0"/>
    <w:rsid w:val="004F053F"/>
    <w:rsid w:val="004F1B11"/>
    <w:rsid w:val="004F65DC"/>
    <w:rsid w:val="005056E6"/>
    <w:rsid w:val="0051191C"/>
    <w:rsid w:val="005362D0"/>
    <w:rsid w:val="00537D25"/>
    <w:rsid w:val="00544419"/>
    <w:rsid w:val="00545C21"/>
    <w:rsid w:val="0055149A"/>
    <w:rsid w:val="00552C69"/>
    <w:rsid w:val="00554CCF"/>
    <w:rsid w:val="005566E4"/>
    <w:rsid w:val="00565555"/>
    <w:rsid w:val="00573F7D"/>
    <w:rsid w:val="00574A96"/>
    <w:rsid w:val="00574FC9"/>
    <w:rsid w:val="005755E2"/>
    <w:rsid w:val="00580F38"/>
    <w:rsid w:val="0058296E"/>
    <w:rsid w:val="00587977"/>
    <w:rsid w:val="0059564C"/>
    <w:rsid w:val="005A31CF"/>
    <w:rsid w:val="005A43FD"/>
    <w:rsid w:val="005B162B"/>
    <w:rsid w:val="005B6D9F"/>
    <w:rsid w:val="005B7D2C"/>
    <w:rsid w:val="005C7BFB"/>
    <w:rsid w:val="005C7F57"/>
    <w:rsid w:val="005D19F7"/>
    <w:rsid w:val="005E4AA9"/>
    <w:rsid w:val="005F235F"/>
    <w:rsid w:val="005F64E5"/>
    <w:rsid w:val="00600764"/>
    <w:rsid w:val="0060182F"/>
    <w:rsid w:val="006030D4"/>
    <w:rsid w:val="00603725"/>
    <w:rsid w:val="00605EDC"/>
    <w:rsid w:val="0061390A"/>
    <w:rsid w:val="00614035"/>
    <w:rsid w:val="0062257F"/>
    <w:rsid w:val="006359A3"/>
    <w:rsid w:val="00635B70"/>
    <w:rsid w:val="006365EB"/>
    <w:rsid w:val="00637775"/>
    <w:rsid w:val="00641897"/>
    <w:rsid w:val="00643971"/>
    <w:rsid w:val="006500E5"/>
    <w:rsid w:val="00652C5E"/>
    <w:rsid w:val="00654381"/>
    <w:rsid w:val="00656D29"/>
    <w:rsid w:val="006608D6"/>
    <w:rsid w:val="00670C8A"/>
    <w:rsid w:val="00672585"/>
    <w:rsid w:val="006741B4"/>
    <w:rsid w:val="00684D99"/>
    <w:rsid w:val="00685924"/>
    <w:rsid w:val="00687708"/>
    <w:rsid w:val="0069096C"/>
    <w:rsid w:val="006953EA"/>
    <w:rsid w:val="006A1709"/>
    <w:rsid w:val="006B3DCB"/>
    <w:rsid w:val="006E688A"/>
    <w:rsid w:val="006E68B2"/>
    <w:rsid w:val="006F4E73"/>
    <w:rsid w:val="00705DC2"/>
    <w:rsid w:val="007069A9"/>
    <w:rsid w:val="00713BF8"/>
    <w:rsid w:val="00725CF7"/>
    <w:rsid w:val="00726AFF"/>
    <w:rsid w:val="0073275D"/>
    <w:rsid w:val="00734203"/>
    <w:rsid w:val="00736D47"/>
    <w:rsid w:val="0074012C"/>
    <w:rsid w:val="007405F3"/>
    <w:rsid w:val="00741C38"/>
    <w:rsid w:val="007516FE"/>
    <w:rsid w:val="0075173B"/>
    <w:rsid w:val="00753553"/>
    <w:rsid w:val="00756EA9"/>
    <w:rsid w:val="0075755B"/>
    <w:rsid w:val="00760354"/>
    <w:rsid w:val="00765068"/>
    <w:rsid w:val="0077201F"/>
    <w:rsid w:val="007746C8"/>
    <w:rsid w:val="007750FD"/>
    <w:rsid w:val="00777540"/>
    <w:rsid w:val="00782682"/>
    <w:rsid w:val="007868A5"/>
    <w:rsid w:val="00791CA4"/>
    <w:rsid w:val="00794345"/>
    <w:rsid w:val="007B7445"/>
    <w:rsid w:val="007C045C"/>
    <w:rsid w:val="007C45F8"/>
    <w:rsid w:val="007D67C5"/>
    <w:rsid w:val="007D7AB5"/>
    <w:rsid w:val="007D7D67"/>
    <w:rsid w:val="007E0549"/>
    <w:rsid w:val="007E3ADD"/>
    <w:rsid w:val="007E6AD2"/>
    <w:rsid w:val="007F3470"/>
    <w:rsid w:val="007F3EAD"/>
    <w:rsid w:val="007F54E9"/>
    <w:rsid w:val="007F5E47"/>
    <w:rsid w:val="007F70D5"/>
    <w:rsid w:val="008051D4"/>
    <w:rsid w:val="00814703"/>
    <w:rsid w:val="00820C32"/>
    <w:rsid w:val="00823F44"/>
    <w:rsid w:val="00833554"/>
    <w:rsid w:val="008379F8"/>
    <w:rsid w:val="008474FD"/>
    <w:rsid w:val="008622DE"/>
    <w:rsid w:val="00862D95"/>
    <w:rsid w:val="00865D95"/>
    <w:rsid w:val="008661B4"/>
    <w:rsid w:val="0086713F"/>
    <w:rsid w:val="00874684"/>
    <w:rsid w:val="008848BD"/>
    <w:rsid w:val="008862AB"/>
    <w:rsid w:val="00886C1B"/>
    <w:rsid w:val="00896B85"/>
    <w:rsid w:val="008A45DA"/>
    <w:rsid w:val="008A6082"/>
    <w:rsid w:val="008C13B1"/>
    <w:rsid w:val="008D0B31"/>
    <w:rsid w:val="008D35A7"/>
    <w:rsid w:val="008D4B08"/>
    <w:rsid w:val="008D4C73"/>
    <w:rsid w:val="008D6153"/>
    <w:rsid w:val="008D7C3E"/>
    <w:rsid w:val="008E15A6"/>
    <w:rsid w:val="008F5D8D"/>
    <w:rsid w:val="0090158A"/>
    <w:rsid w:val="009030D7"/>
    <w:rsid w:val="0090768A"/>
    <w:rsid w:val="009101EB"/>
    <w:rsid w:val="0092570D"/>
    <w:rsid w:val="00944490"/>
    <w:rsid w:val="009527BD"/>
    <w:rsid w:val="00953ADD"/>
    <w:rsid w:val="00956E94"/>
    <w:rsid w:val="0096559E"/>
    <w:rsid w:val="00967051"/>
    <w:rsid w:val="00971911"/>
    <w:rsid w:val="009734D8"/>
    <w:rsid w:val="00976545"/>
    <w:rsid w:val="00981623"/>
    <w:rsid w:val="009827FA"/>
    <w:rsid w:val="00995A9E"/>
    <w:rsid w:val="00997810"/>
    <w:rsid w:val="009A087D"/>
    <w:rsid w:val="009A1568"/>
    <w:rsid w:val="009B4140"/>
    <w:rsid w:val="009B5070"/>
    <w:rsid w:val="009B5E0A"/>
    <w:rsid w:val="009B616A"/>
    <w:rsid w:val="009C2648"/>
    <w:rsid w:val="009C5D87"/>
    <w:rsid w:val="009C5E43"/>
    <w:rsid w:val="009C773D"/>
    <w:rsid w:val="009D2F9B"/>
    <w:rsid w:val="009D6A4E"/>
    <w:rsid w:val="009F14BB"/>
    <w:rsid w:val="009F321E"/>
    <w:rsid w:val="009F4960"/>
    <w:rsid w:val="009F729A"/>
    <w:rsid w:val="00A011D6"/>
    <w:rsid w:val="00A044E8"/>
    <w:rsid w:val="00A12B45"/>
    <w:rsid w:val="00A15930"/>
    <w:rsid w:val="00A419B4"/>
    <w:rsid w:val="00A53D0C"/>
    <w:rsid w:val="00A55678"/>
    <w:rsid w:val="00A64844"/>
    <w:rsid w:val="00A66611"/>
    <w:rsid w:val="00A66899"/>
    <w:rsid w:val="00A7161E"/>
    <w:rsid w:val="00A769AD"/>
    <w:rsid w:val="00A835B9"/>
    <w:rsid w:val="00A8412A"/>
    <w:rsid w:val="00A8431A"/>
    <w:rsid w:val="00A86284"/>
    <w:rsid w:val="00A97405"/>
    <w:rsid w:val="00AA3673"/>
    <w:rsid w:val="00AB0183"/>
    <w:rsid w:val="00AB134A"/>
    <w:rsid w:val="00AB4D03"/>
    <w:rsid w:val="00AC0A0F"/>
    <w:rsid w:val="00AC5638"/>
    <w:rsid w:val="00AC72BB"/>
    <w:rsid w:val="00AD0463"/>
    <w:rsid w:val="00AD4A15"/>
    <w:rsid w:val="00AE494C"/>
    <w:rsid w:val="00AF5C50"/>
    <w:rsid w:val="00B0175D"/>
    <w:rsid w:val="00B04432"/>
    <w:rsid w:val="00B04D68"/>
    <w:rsid w:val="00B06A33"/>
    <w:rsid w:val="00B079DE"/>
    <w:rsid w:val="00B115F7"/>
    <w:rsid w:val="00B147DC"/>
    <w:rsid w:val="00B2256A"/>
    <w:rsid w:val="00B24826"/>
    <w:rsid w:val="00B31C99"/>
    <w:rsid w:val="00B40890"/>
    <w:rsid w:val="00B41AF8"/>
    <w:rsid w:val="00B52888"/>
    <w:rsid w:val="00B60D52"/>
    <w:rsid w:val="00B634BA"/>
    <w:rsid w:val="00B72A40"/>
    <w:rsid w:val="00B9373C"/>
    <w:rsid w:val="00B951E5"/>
    <w:rsid w:val="00B95BDE"/>
    <w:rsid w:val="00BB3F12"/>
    <w:rsid w:val="00BB5CB8"/>
    <w:rsid w:val="00BC5CEB"/>
    <w:rsid w:val="00BD1CDC"/>
    <w:rsid w:val="00BE2543"/>
    <w:rsid w:val="00BE7DEC"/>
    <w:rsid w:val="00BF6EC8"/>
    <w:rsid w:val="00C05383"/>
    <w:rsid w:val="00C0667E"/>
    <w:rsid w:val="00C11049"/>
    <w:rsid w:val="00C131E5"/>
    <w:rsid w:val="00C13D73"/>
    <w:rsid w:val="00C14E87"/>
    <w:rsid w:val="00C24672"/>
    <w:rsid w:val="00C257AE"/>
    <w:rsid w:val="00C26C4B"/>
    <w:rsid w:val="00C27374"/>
    <w:rsid w:val="00C305C3"/>
    <w:rsid w:val="00C3766B"/>
    <w:rsid w:val="00C400A1"/>
    <w:rsid w:val="00C42195"/>
    <w:rsid w:val="00C507C1"/>
    <w:rsid w:val="00C53064"/>
    <w:rsid w:val="00C61D3E"/>
    <w:rsid w:val="00C648A4"/>
    <w:rsid w:val="00C75EFF"/>
    <w:rsid w:val="00C805B3"/>
    <w:rsid w:val="00C81163"/>
    <w:rsid w:val="00C92550"/>
    <w:rsid w:val="00CA4A3D"/>
    <w:rsid w:val="00CA6FA0"/>
    <w:rsid w:val="00CA735D"/>
    <w:rsid w:val="00CB550A"/>
    <w:rsid w:val="00CB6504"/>
    <w:rsid w:val="00CC2081"/>
    <w:rsid w:val="00CC2B56"/>
    <w:rsid w:val="00CC4E56"/>
    <w:rsid w:val="00CD02D2"/>
    <w:rsid w:val="00CD1798"/>
    <w:rsid w:val="00CD19C0"/>
    <w:rsid w:val="00CD5179"/>
    <w:rsid w:val="00CD6F40"/>
    <w:rsid w:val="00CE101D"/>
    <w:rsid w:val="00CE2202"/>
    <w:rsid w:val="00CE492A"/>
    <w:rsid w:val="00CF199A"/>
    <w:rsid w:val="00CF4433"/>
    <w:rsid w:val="00CF5886"/>
    <w:rsid w:val="00CF73AD"/>
    <w:rsid w:val="00D03670"/>
    <w:rsid w:val="00D03B37"/>
    <w:rsid w:val="00D0546E"/>
    <w:rsid w:val="00D05EFD"/>
    <w:rsid w:val="00D138B2"/>
    <w:rsid w:val="00D152C3"/>
    <w:rsid w:val="00D20219"/>
    <w:rsid w:val="00D2345A"/>
    <w:rsid w:val="00D26F2D"/>
    <w:rsid w:val="00D3408A"/>
    <w:rsid w:val="00D45422"/>
    <w:rsid w:val="00D45D83"/>
    <w:rsid w:val="00D4729E"/>
    <w:rsid w:val="00D52D96"/>
    <w:rsid w:val="00D7350D"/>
    <w:rsid w:val="00D803E4"/>
    <w:rsid w:val="00D900A6"/>
    <w:rsid w:val="00D940A2"/>
    <w:rsid w:val="00DA0A01"/>
    <w:rsid w:val="00DA13CF"/>
    <w:rsid w:val="00DA23C8"/>
    <w:rsid w:val="00DA5777"/>
    <w:rsid w:val="00DA70FF"/>
    <w:rsid w:val="00DB0D66"/>
    <w:rsid w:val="00DC0437"/>
    <w:rsid w:val="00DC4168"/>
    <w:rsid w:val="00DD1EAE"/>
    <w:rsid w:val="00DD4530"/>
    <w:rsid w:val="00DD63A2"/>
    <w:rsid w:val="00DE7FB0"/>
    <w:rsid w:val="00DF708F"/>
    <w:rsid w:val="00E10388"/>
    <w:rsid w:val="00E46B6B"/>
    <w:rsid w:val="00E5036E"/>
    <w:rsid w:val="00E52BCD"/>
    <w:rsid w:val="00E566E7"/>
    <w:rsid w:val="00E56CB5"/>
    <w:rsid w:val="00E57C6F"/>
    <w:rsid w:val="00E66175"/>
    <w:rsid w:val="00E67F63"/>
    <w:rsid w:val="00E801A1"/>
    <w:rsid w:val="00E91D3E"/>
    <w:rsid w:val="00E95987"/>
    <w:rsid w:val="00E96D04"/>
    <w:rsid w:val="00EA1894"/>
    <w:rsid w:val="00EA5CE1"/>
    <w:rsid w:val="00EB2563"/>
    <w:rsid w:val="00EB7821"/>
    <w:rsid w:val="00EC4383"/>
    <w:rsid w:val="00EC78D8"/>
    <w:rsid w:val="00EE4ED7"/>
    <w:rsid w:val="00EF3556"/>
    <w:rsid w:val="00F10BAF"/>
    <w:rsid w:val="00F10FC4"/>
    <w:rsid w:val="00F11D09"/>
    <w:rsid w:val="00F13136"/>
    <w:rsid w:val="00F13855"/>
    <w:rsid w:val="00F14F0D"/>
    <w:rsid w:val="00F16F90"/>
    <w:rsid w:val="00F17D8E"/>
    <w:rsid w:val="00F2237F"/>
    <w:rsid w:val="00F2374C"/>
    <w:rsid w:val="00F2646E"/>
    <w:rsid w:val="00F26C5F"/>
    <w:rsid w:val="00F35B48"/>
    <w:rsid w:val="00F35DC4"/>
    <w:rsid w:val="00F4322A"/>
    <w:rsid w:val="00F455FC"/>
    <w:rsid w:val="00F46204"/>
    <w:rsid w:val="00F5169A"/>
    <w:rsid w:val="00F54F0A"/>
    <w:rsid w:val="00F5673B"/>
    <w:rsid w:val="00F57888"/>
    <w:rsid w:val="00F71F38"/>
    <w:rsid w:val="00F73BC1"/>
    <w:rsid w:val="00F84B5C"/>
    <w:rsid w:val="00F85657"/>
    <w:rsid w:val="00F94D8B"/>
    <w:rsid w:val="00F95AA4"/>
    <w:rsid w:val="00F95AE0"/>
    <w:rsid w:val="00F95B00"/>
    <w:rsid w:val="00F9782C"/>
    <w:rsid w:val="00FA0114"/>
    <w:rsid w:val="00FA7D72"/>
    <w:rsid w:val="00FB0590"/>
    <w:rsid w:val="00FB26AC"/>
    <w:rsid w:val="00FB3A10"/>
    <w:rsid w:val="00FB604D"/>
    <w:rsid w:val="00FD25D5"/>
    <w:rsid w:val="00FD580A"/>
    <w:rsid w:val="00FE2C8F"/>
    <w:rsid w:val="00FE459C"/>
    <w:rsid w:val="00FF1679"/>
    <w:rsid w:val="00FF42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AC777"/>
  <w15:docId w15:val="{D9524FB7-B8CE-460D-8A2F-D02667D53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86284"/>
    <w:pPr>
      <w:ind w:left="720"/>
      <w:contextualSpacing/>
    </w:pPr>
  </w:style>
  <w:style w:type="table" w:styleId="TableGrid">
    <w:name w:val="Table Grid"/>
    <w:basedOn w:val="TableNormal"/>
    <w:uiPriority w:val="59"/>
    <w:rsid w:val="002373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2257F"/>
    <w:rPr>
      <w:sz w:val="16"/>
      <w:szCs w:val="16"/>
    </w:rPr>
  </w:style>
  <w:style w:type="paragraph" w:styleId="CommentText">
    <w:name w:val="annotation text"/>
    <w:basedOn w:val="Normal"/>
    <w:link w:val="CommentTextChar"/>
    <w:uiPriority w:val="99"/>
    <w:unhideWhenUsed/>
    <w:rsid w:val="0062257F"/>
    <w:pPr>
      <w:spacing w:line="240" w:lineRule="auto"/>
    </w:pPr>
    <w:rPr>
      <w:sz w:val="20"/>
      <w:szCs w:val="20"/>
    </w:rPr>
  </w:style>
  <w:style w:type="character" w:customStyle="1" w:styleId="CommentTextChar">
    <w:name w:val="Comment Text Char"/>
    <w:basedOn w:val="DefaultParagraphFont"/>
    <w:link w:val="CommentText"/>
    <w:uiPriority w:val="99"/>
    <w:rsid w:val="0062257F"/>
    <w:rPr>
      <w:sz w:val="20"/>
      <w:szCs w:val="20"/>
    </w:rPr>
  </w:style>
  <w:style w:type="paragraph" w:styleId="CommentSubject">
    <w:name w:val="annotation subject"/>
    <w:basedOn w:val="CommentText"/>
    <w:next w:val="CommentText"/>
    <w:link w:val="CommentSubjectChar"/>
    <w:uiPriority w:val="99"/>
    <w:semiHidden/>
    <w:unhideWhenUsed/>
    <w:rsid w:val="0062257F"/>
    <w:rPr>
      <w:b/>
      <w:bCs/>
    </w:rPr>
  </w:style>
  <w:style w:type="character" w:customStyle="1" w:styleId="CommentSubjectChar">
    <w:name w:val="Comment Subject Char"/>
    <w:basedOn w:val="CommentTextChar"/>
    <w:link w:val="CommentSubject"/>
    <w:uiPriority w:val="99"/>
    <w:semiHidden/>
    <w:rsid w:val="0062257F"/>
    <w:rPr>
      <w:b/>
      <w:bCs/>
      <w:sz w:val="20"/>
      <w:szCs w:val="20"/>
    </w:rPr>
  </w:style>
  <w:style w:type="paragraph" w:styleId="NoSpacing">
    <w:name w:val="No Spacing"/>
    <w:uiPriority w:val="1"/>
    <w:qFormat/>
    <w:rsid w:val="001F1992"/>
    <w:pPr>
      <w:spacing w:after="0" w:line="240" w:lineRule="auto"/>
    </w:pPr>
  </w:style>
  <w:style w:type="character" w:styleId="Hyperlink">
    <w:name w:val="Hyperlink"/>
    <w:basedOn w:val="DefaultParagraphFont"/>
    <w:uiPriority w:val="99"/>
    <w:unhideWhenUsed/>
    <w:rsid w:val="00CD19C0"/>
    <w:rPr>
      <w:color w:val="0563C1" w:themeColor="hyperlink"/>
      <w:u w:val="single"/>
    </w:rPr>
  </w:style>
  <w:style w:type="character" w:styleId="UnresolvedMention">
    <w:name w:val="Unresolved Mention"/>
    <w:basedOn w:val="DefaultParagraphFont"/>
    <w:uiPriority w:val="99"/>
    <w:semiHidden/>
    <w:unhideWhenUsed/>
    <w:rsid w:val="00CD19C0"/>
    <w:rPr>
      <w:color w:val="605E5C"/>
      <w:shd w:val="clear" w:color="auto" w:fill="E1DFDD"/>
    </w:rPr>
  </w:style>
  <w:style w:type="character" w:styleId="FollowedHyperlink">
    <w:name w:val="FollowedHyperlink"/>
    <w:basedOn w:val="DefaultParagraphFont"/>
    <w:uiPriority w:val="99"/>
    <w:semiHidden/>
    <w:unhideWhenUsed/>
    <w:rsid w:val="00736D47"/>
    <w:rPr>
      <w:color w:val="954F72" w:themeColor="followedHyperlink"/>
      <w:u w:val="single"/>
    </w:rPr>
  </w:style>
  <w:style w:type="paragraph" w:styleId="Revision">
    <w:name w:val="Revision"/>
    <w:hidden/>
    <w:uiPriority w:val="99"/>
    <w:semiHidden/>
    <w:rsid w:val="009D6A4E"/>
    <w:pPr>
      <w:spacing w:after="0" w:line="240" w:lineRule="auto"/>
    </w:pPr>
  </w:style>
  <w:style w:type="paragraph" w:styleId="Header">
    <w:name w:val="header"/>
    <w:basedOn w:val="Normal"/>
    <w:link w:val="HeaderChar"/>
    <w:uiPriority w:val="99"/>
    <w:unhideWhenUsed/>
    <w:rsid w:val="00CF58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5886"/>
  </w:style>
  <w:style w:type="paragraph" w:styleId="Footer">
    <w:name w:val="footer"/>
    <w:basedOn w:val="Normal"/>
    <w:link w:val="FooterChar"/>
    <w:uiPriority w:val="99"/>
    <w:unhideWhenUsed/>
    <w:rsid w:val="00CF58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5886"/>
  </w:style>
  <w:style w:type="table" w:customStyle="1" w:styleId="TableGrid1">
    <w:name w:val="Table Grid1"/>
    <w:basedOn w:val="TableNormal"/>
    <w:next w:val="TableGrid"/>
    <w:uiPriority w:val="59"/>
    <w:rsid w:val="00AE494C"/>
    <w:pPr>
      <w:spacing w:after="0" w:line="240" w:lineRule="auto"/>
    </w:pPr>
    <w:rPr>
      <w:kern w:val="0"/>
      <w:sz w:val="24"/>
      <w:szCs w:val="24"/>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AE494C"/>
    <w:pPr>
      <w:spacing w:after="0" w:line="240" w:lineRule="auto"/>
    </w:pPr>
    <w:rPr>
      <w:kern w:val="0"/>
      <w:sz w:val="24"/>
      <w:szCs w:val="24"/>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43971"/>
    <w:pPr>
      <w:spacing w:after="0" w:line="240" w:lineRule="auto"/>
    </w:pPr>
    <w:rPr>
      <w:kern w:val="0"/>
      <w:sz w:val="24"/>
      <w:szCs w:val="24"/>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basedOn w:val="DefaultParagraphFont"/>
    <w:link w:val="ListParagraph"/>
    <w:uiPriority w:val="34"/>
    <w:locked/>
    <w:rsid w:val="00CF1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167301">
      <w:bodyDiv w:val="1"/>
      <w:marLeft w:val="0"/>
      <w:marRight w:val="0"/>
      <w:marTop w:val="0"/>
      <w:marBottom w:val="0"/>
      <w:divBdr>
        <w:top w:val="none" w:sz="0" w:space="0" w:color="auto"/>
        <w:left w:val="none" w:sz="0" w:space="0" w:color="auto"/>
        <w:bottom w:val="none" w:sz="0" w:space="0" w:color="auto"/>
        <w:right w:val="none" w:sz="0" w:space="0" w:color="auto"/>
      </w:divBdr>
    </w:div>
    <w:div w:id="205608593">
      <w:bodyDiv w:val="1"/>
      <w:marLeft w:val="0"/>
      <w:marRight w:val="0"/>
      <w:marTop w:val="0"/>
      <w:marBottom w:val="0"/>
      <w:divBdr>
        <w:top w:val="none" w:sz="0" w:space="0" w:color="auto"/>
        <w:left w:val="none" w:sz="0" w:space="0" w:color="auto"/>
        <w:bottom w:val="none" w:sz="0" w:space="0" w:color="auto"/>
        <w:right w:val="none" w:sz="0" w:space="0" w:color="auto"/>
      </w:divBdr>
    </w:div>
    <w:div w:id="224151422">
      <w:bodyDiv w:val="1"/>
      <w:marLeft w:val="0"/>
      <w:marRight w:val="0"/>
      <w:marTop w:val="0"/>
      <w:marBottom w:val="0"/>
      <w:divBdr>
        <w:top w:val="none" w:sz="0" w:space="0" w:color="auto"/>
        <w:left w:val="none" w:sz="0" w:space="0" w:color="auto"/>
        <w:bottom w:val="none" w:sz="0" w:space="0" w:color="auto"/>
        <w:right w:val="none" w:sz="0" w:space="0" w:color="auto"/>
      </w:divBdr>
    </w:div>
    <w:div w:id="445348875">
      <w:bodyDiv w:val="1"/>
      <w:marLeft w:val="0"/>
      <w:marRight w:val="0"/>
      <w:marTop w:val="0"/>
      <w:marBottom w:val="0"/>
      <w:divBdr>
        <w:top w:val="none" w:sz="0" w:space="0" w:color="auto"/>
        <w:left w:val="none" w:sz="0" w:space="0" w:color="auto"/>
        <w:bottom w:val="none" w:sz="0" w:space="0" w:color="auto"/>
        <w:right w:val="none" w:sz="0" w:space="0" w:color="auto"/>
      </w:divBdr>
    </w:div>
    <w:div w:id="666833140">
      <w:bodyDiv w:val="1"/>
      <w:marLeft w:val="0"/>
      <w:marRight w:val="0"/>
      <w:marTop w:val="0"/>
      <w:marBottom w:val="0"/>
      <w:divBdr>
        <w:top w:val="none" w:sz="0" w:space="0" w:color="auto"/>
        <w:left w:val="none" w:sz="0" w:space="0" w:color="auto"/>
        <w:bottom w:val="none" w:sz="0" w:space="0" w:color="auto"/>
        <w:right w:val="none" w:sz="0" w:space="0" w:color="auto"/>
      </w:divBdr>
    </w:div>
    <w:div w:id="809633411">
      <w:bodyDiv w:val="1"/>
      <w:marLeft w:val="0"/>
      <w:marRight w:val="0"/>
      <w:marTop w:val="0"/>
      <w:marBottom w:val="0"/>
      <w:divBdr>
        <w:top w:val="none" w:sz="0" w:space="0" w:color="auto"/>
        <w:left w:val="none" w:sz="0" w:space="0" w:color="auto"/>
        <w:bottom w:val="none" w:sz="0" w:space="0" w:color="auto"/>
        <w:right w:val="none" w:sz="0" w:space="0" w:color="auto"/>
      </w:divBdr>
    </w:div>
    <w:div w:id="943147262">
      <w:bodyDiv w:val="1"/>
      <w:marLeft w:val="0"/>
      <w:marRight w:val="0"/>
      <w:marTop w:val="0"/>
      <w:marBottom w:val="0"/>
      <w:divBdr>
        <w:top w:val="none" w:sz="0" w:space="0" w:color="auto"/>
        <w:left w:val="none" w:sz="0" w:space="0" w:color="auto"/>
        <w:bottom w:val="none" w:sz="0" w:space="0" w:color="auto"/>
        <w:right w:val="none" w:sz="0" w:space="0" w:color="auto"/>
      </w:divBdr>
    </w:div>
    <w:div w:id="954478718">
      <w:bodyDiv w:val="1"/>
      <w:marLeft w:val="0"/>
      <w:marRight w:val="0"/>
      <w:marTop w:val="0"/>
      <w:marBottom w:val="0"/>
      <w:divBdr>
        <w:top w:val="none" w:sz="0" w:space="0" w:color="auto"/>
        <w:left w:val="none" w:sz="0" w:space="0" w:color="auto"/>
        <w:bottom w:val="none" w:sz="0" w:space="0" w:color="auto"/>
        <w:right w:val="none" w:sz="0" w:space="0" w:color="auto"/>
      </w:divBdr>
    </w:div>
    <w:div w:id="963925062">
      <w:bodyDiv w:val="1"/>
      <w:marLeft w:val="0"/>
      <w:marRight w:val="0"/>
      <w:marTop w:val="0"/>
      <w:marBottom w:val="0"/>
      <w:divBdr>
        <w:top w:val="none" w:sz="0" w:space="0" w:color="auto"/>
        <w:left w:val="none" w:sz="0" w:space="0" w:color="auto"/>
        <w:bottom w:val="none" w:sz="0" w:space="0" w:color="auto"/>
        <w:right w:val="none" w:sz="0" w:space="0" w:color="auto"/>
      </w:divBdr>
    </w:div>
    <w:div w:id="1108965939">
      <w:bodyDiv w:val="1"/>
      <w:marLeft w:val="0"/>
      <w:marRight w:val="0"/>
      <w:marTop w:val="0"/>
      <w:marBottom w:val="0"/>
      <w:divBdr>
        <w:top w:val="none" w:sz="0" w:space="0" w:color="auto"/>
        <w:left w:val="none" w:sz="0" w:space="0" w:color="auto"/>
        <w:bottom w:val="none" w:sz="0" w:space="0" w:color="auto"/>
        <w:right w:val="none" w:sz="0" w:space="0" w:color="auto"/>
      </w:divBdr>
    </w:div>
    <w:div w:id="1116098256">
      <w:bodyDiv w:val="1"/>
      <w:marLeft w:val="0"/>
      <w:marRight w:val="0"/>
      <w:marTop w:val="0"/>
      <w:marBottom w:val="0"/>
      <w:divBdr>
        <w:top w:val="none" w:sz="0" w:space="0" w:color="auto"/>
        <w:left w:val="none" w:sz="0" w:space="0" w:color="auto"/>
        <w:bottom w:val="none" w:sz="0" w:space="0" w:color="auto"/>
        <w:right w:val="none" w:sz="0" w:space="0" w:color="auto"/>
      </w:divBdr>
    </w:div>
    <w:div w:id="1236547192">
      <w:bodyDiv w:val="1"/>
      <w:marLeft w:val="0"/>
      <w:marRight w:val="0"/>
      <w:marTop w:val="0"/>
      <w:marBottom w:val="0"/>
      <w:divBdr>
        <w:top w:val="none" w:sz="0" w:space="0" w:color="auto"/>
        <w:left w:val="none" w:sz="0" w:space="0" w:color="auto"/>
        <w:bottom w:val="none" w:sz="0" w:space="0" w:color="auto"/>
        <w:right w:val="none" w:sz="0" w:space="0" w:color="auto"/>
      </w:divBdr>
    </w:div>
    <w:div w:id="1281183008">
      <w:bodyDiv w:val="1"/>
      <w:marLeft w:val="0"/>
      <w:marRight w:val="0"/>
      <w:marTop w:val="0"/>
      <w:marBottom w:val="0"/>
      <w:divBdr>
        <w:top w:val="none" w:sz="0" w:space="0" w:color="auto"/>
        <w:left w:val="none" w:sz="0" w:space="0" w:color="auto"/>
        <w:bottom w:val="none" w:sz="0" w:space="0" w:color="auto"/>
        <w:right w:val="none" w:sz="0" w:space="0" w:color="auto"/>
      </w:divBdr>
    </w:div>
    <w:div w:id="1282153004">
      <w:bodyDiv w:val="1"/>
      <w:marLeft w:val="0"/>
      <w:marRight w:val="0"/>
      <w:marTop w:val="0"/>
      <w:marBottom w:val="0"/>
      <w:divBdr>
        <w:top w:val="none" w:sz="0" w:space="0" w:color="auto"/>
        <w:left w:val="none" w:sz="0" w:space="0" w:color="auto"/>
        <w:bottom w:val="none" w:sz="0" w:space="0" w:color="auto"/>
        <w:right w:val="none" w:sz="0" w:space="0" w:color="auto"/>
      </w:divBdr>
    </w:div>
    <w:div w:id="1509295811">
      <w:bodyDiv w:val="1"/>
      <w:marLeft w:val="0"/>
      <w:marRight w:val="0"/>
      <w:marTop w:val="0"/>
      <w:marBottom w:val="0"/>
      <w:divBdr>
        <w:top w:val="none" w:sz="0" w:space="0" w:color="auto"/>
        <w:left w:val="none" w:sz="0" w:space="0" w:color="auto"/>
        <w:bottom w:val="none" w:sz="0" w:space="0" w:color="auto"/>
        <w:right w:val="none" w:sz="0" w:space="0" w:color="auto"/>
      </w:divBdr>
    </w:div>
    <w:div w:id="1512837687">
      <w:bodyDiv w:val="1"/>
      <w:marLeft w:val="0"/>
      <w:marRight w:val="0"/>
      <w:marTop w:val="0"/>
      <w:marBottom w:val="0"/>
      <w:divBdr>
        <w:top w:val="none" w:sz="0" w:space="0" w:color="auto"/>
        <w:left w:val="none" w:sz="0" w:space="0" w:color="auto"/>
        <w:bottom w:val="none" w:sz="0" w:space="0" w:color="auto"/>
        <w:right w:val="none" w:sz="0" w:space="0" w:color="auto"/>
      </w:divBdr>
    </w:div>
    <w:div w:id="1737044218">
      <w:bodyDiv w:val="1"/>
      <w:marLeft w:val="0"/>
      <w:marRight w:val="0"/>
      <w:marTop w:val="0"/>
      <w:marBottom w:val="0"/>
      <w:divBdr>
        <w:top w:val="none" w:sz="0" w:space="0" w:color="auto"/>
        <w:left w:val="none" w:sz="0" w:space="0" w:color="auto"/>
        <w:bottom w:val="none" w:sz="0" w:space="0" w:color="auto"/>
        <w:right w:val="none" w:sz="0" w:space="0" w:color="auto"/>
      </w:divBdr>
    </w:div>
    <w:div w:id="1815023252">
      <w:bodyDiv w:val="1"/>
      <w:marLeft w:val="0"/>
      <w:marRight w:val="0"/>
      <w:marTop w:val="0"/>
      <w:marBottom w:val="0"/>
      <w:divBdr>
        <w:top w:val="none" w:sz="0" w:space="0" w:color="auto"/>
        <w:left w:val="none" w:sz="0" w:space="0" w:color="auto"/>
        <w:bottom w:val="none" w:sz="0" w:space="0" w:color="auto"/>
        <w:right w:val="none" w:sz="0" w:space="0" w:color="auto"/>
      </w:divBdr>
    </w:div>
    <w:div w:id="2094740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pubmed.ncbi.nlm.nih.gov/28218413/" TargetMode="External"/><Relationship Id="rId3" Type="http://schemas.openxmlformats.org/officeDocument/2006/relationships/styles" Target="styles.xml"/><Relationship Id="rId21" Type="http://schemas.openxmlformats.org/officeDocument/2006/relationships/hyperlink" Target="https://pubmed.ncbi.nlm.nih.gov/28161701/"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pubmed.ncbi.nlm.nih.gov/38745691/" TargetMode="External"/><Relationship Id="rId2" Type="http://schemas.openxmlformats.org/officeDocument/2006/relationships/numbering" Target="numbering.xml"/><Relationship Id="rId16" Type="http://schemas.openxmlformats.org/officeDocument/2006/relationships/hyperlink" Target="https://pubmed.ncbi.nlm.nih.gov/35835560/" TargetMode="External"/><Relationship Id="rId20" Type="http://schemas.openxmlformats.org/officeDocument/2006/relationships/hyperlink" Target="https://pubmed.ncbi.nlm.nih.gov/2821841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ubmed.ncbi.nlm.nih.gov/26578041/"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pubmed.ncbi.nlm.nih.gov/30174275/"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pubmed.ncbi.nlm.nih.gov/28511255/" TargetMode="External"/><Relationship Id="rId22" Type="http://schemas.openxmlformats.org/officeDocument/2006/relationships/hyperlink" Target="https://pubmed.ncbi.nlm.nih.gov/2653930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1A2C4-C6D1-4D9C-9F7C-381A1637E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3220</Words>
  <Characters>18358</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Center For Medicaid Services</Company>
  <LinksUpToDate>false</LinksUpToDate>
  <CharactersWithSpaces>21535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Rogstad</dc:creator>
  <cp:keywords/>
  <dc:description/>
  <cp:lastModifiedBy>Rogstad, Teresa (CMS/CCSQ)</cp:lastModifiedBy>
  <cp:revision>2</cp:revision>
  <dcterms:created xsi:type="dcterms:W3CDTF">2025-06-02T18:33:00Z</dcterms:created>
  <dcterms:modified xsi:type="dcterms:W3CDTF">2025-06-02T18:33:00Z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8d7afa3666f9042a51518d96ffce52b0f06f09eaa9916d4c64cd6f0d984a3f7c</vt:lpwstr>
  </property>
</Properties>
</file>